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D65C" w14:textId="2BCA5DD9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                                                           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Matematică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(15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puncte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)</w:t>
      </w:r>
    </w:p>
    <w:p w14:paraId="3E8F4F94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1AECB789" w14:textId="1B55AED8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1. Un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automobil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a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parcurs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un drum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trei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zile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: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prima zi un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sfert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din drum, a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doua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zi  </w:t>
      </w:r>
      <w:r w:rsidRPr="00B56F0E">
        <w:rPr>
          <w:noProof/>
        </w:rPr>
        <w:drawing>
          <wp:inline distT="0" distB="0" distL="0" distR="0" wp14:anchorId="67BB1F87" wp14:editId="19ACF592">
            <wp:extent cx="76200" cy="3333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 din rest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a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treia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zi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ultimii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280 km.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Câți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km are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întregul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drum:</w:t>
      </w:r>
    </w:p>
    <w:p w14:paraId="0649C349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56D58A0E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2.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Aflați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soluțiile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naturale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ale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inecuației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:</w:t>
      </w:r>
    </w:p>
    <w:p w14:paraId="591E2050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    5 (2x + 7) - 3 (3x - 8) &gt; 9x - 2 (3x-5) + 13</w:t>
      </w:r>
    </w:p>
    <w:p w14:paraId="73CA861C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3B87D356" w14:textId="25CB94BF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3. Fie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triunghiul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isoscel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ABC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bază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BC = 12</w:t>
      </w:r>
      <w:r w:rsidRPr="00B56F0E">
        <w:rPr>
          <w:noProof/>
        </w:rPr>
        <w:drawing>
          <wp:inline distT="0" distB="0" distL="0" distR="0" wp14:anchorId="10B57662" wp14:editId="5A450B33">
            <wp:extent cx="171450" cy="2000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 cm.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Înălțimea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AD = 6 cm, D € BC.</w:t>
      </w:r>
    </w:p>
    <w:p w14:paraId="64C36B1F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   a)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Determinați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aria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perimetrul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triunghiului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ABC.</w:t>
      </w:r>
    </w:p>
    <w:p w14:paraId="37F17F25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   b)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Aflați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lungimea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înălțimii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din B a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triunghiului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ABC,</w:t>
      </w:r>
    </w:p>
    <w:p w14:paraId="46A78416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23830B13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4. Un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bazin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formă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paralelipiped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dreptunghic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are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lungimea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bazei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28 cm,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lățimea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20 cm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înălțimea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30 cm.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Dacă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 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acvariu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se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toarnă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14 l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apă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câți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cm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mai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rămân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până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sus?</w:t>
      </w:r>
    </w:p>
    <w:p w14:paraId="754C8B86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149199A8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B.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Metodica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predării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matematicii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/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matematicii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explorării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mediului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(10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puncte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)</w:t>
      </w:r>
    </w:p>
    <w:p w14:paraId="30C06CD1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611B5CE6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   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Următoarea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secvență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face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parte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din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programa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școlară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pentru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Matemtică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explorarea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mediului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-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clasa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pregătitoare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aprobată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prin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OMEN nr. 3418/2013</w:t>
      </w:r>
    </w:p>
    <w:p w14:paraId="71C7CEA0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194EBF9F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   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Competența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specifică</w:t>
      </w:r>
      <w:proofErr w:type="spellEnd"/>
    </w:p>
    <w:p w14:paraId="7D19F506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1.6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Utilizarea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unor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denumiri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simboluri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matematice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(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sumă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total,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diferență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=, +, -)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rezolvarea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/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sau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compunerea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probleme</w:t>
      </w:r>
      <w:proofErr w:type="spellEnd"/>
    </w:p>
    <w:p w14:paraId="67D9E535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Exemple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activități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:</w:t>
      </w:r>
    </w:p>
    <w:p w14:paraId="2D3B102D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-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aflarea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sumei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/ </w:t>
      </w:r>
      <w:proofErr w:type="spellStart"/>
      <w:proofErr w:type="gram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diferenței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  a</w:t>
      </w:r>
      <w:proofErr w:type="gram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numere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mai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mici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decât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31;</w:t>
      </w:r>
    </w:p>
    <w:p w14:paraId="4DE853BB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-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crearea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unor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probleme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simple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după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imagini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;</w:t>
      </w:r>
    </w:p>
    <w:p w14:paraId="64E10E6A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-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formularea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rezolvarea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unor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probleme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pornind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la o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tematică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dată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prin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schimbarea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numerelor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/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acțiunilor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/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întrebării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dintr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-o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problemă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rezolvată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;</w:t>
      </w:r>
    </w:p>
    <w:p w14:paraId="28F2DE69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-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schimbarea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componentelor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unei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probleme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(date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numerice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tematică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acțiuni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)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fără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ca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tipul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problemă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se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schimbe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;</w:t>
      </w:r>
    </w:p>
    <w:p w14:paraId="084B3D30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-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transformarea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unei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probleme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adunare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problemă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scădere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invers;</w:t>
      </w:r>
    </w:p>
    <w:p w14:paraId="49770226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-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transformarea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unei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probleme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prin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extinderea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/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reducerea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numărului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operații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.</w:t>
      </w:r>
    </w:p>
    <w:p w14:paraId="759A4FFB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3BFB4AC4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Conținuturi</w:t>
      </w:r>
      <w:proofErr w:type="spellEnd"/>
    </w:p>
    <w:p w14:paraId="32702156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Numere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:</w:t>
      </w:r>
    </w:p>
    <w:p w14:paraId="12BBBBCF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-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numere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naturale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0 - 31 (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recunoaștere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formare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cititre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scrieei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cifre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comparare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ordonare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- de la 0 la 10, de la </w:t>
      </w:r>
      <w:proofErr w:type="gram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10  la</w:t>
      </w:r>
      <w:proofErr w:type="gram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20, de la 20 la 31) ;</w:t>
      </w:r>
    </w:p>
    <w:p w14:paraId="4720A653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-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adunarea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scăderea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concentrul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0 - 10,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prin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numărare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(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adunarea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scăderea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concentrul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0 - 31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fără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trecere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trecere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peste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ordin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prin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numărare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/ cu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suport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intuitiv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);</w:t>
      </w:r>
    </w:p>
    <w:p w14:paraId="4A99ABD9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lastRenderedPageBreak/>
        <w:t xml:space="preserve">-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probleme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simple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adunare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sau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scădere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cu 1 - 5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unități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concentrul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0 - 31, cu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suport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intuitivf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.</w:t>
      </w:r>
    </w:p>
    <w:p w14:paraId="04627AAE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51090654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Cerințe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:</w:t>
      </w:r>
    </w:p>
    <w:p w14:paraId="6244A94B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a)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Precizați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mijloace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didactice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strategii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diferențiere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individualizare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dar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forme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organizare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a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colectivului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elevi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necesare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pentru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a forma/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dezvolta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competența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specifică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dată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.</w:t>
      </w:r>
    </w:p>
    <w:p w14:paraId="7F1F87D8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b)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Elaborați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doi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itemi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evaluare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diferiți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din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categoria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itemilor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obiectivi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doi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itemi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evaluare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diferiți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categoria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itemilor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semiobictivi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aplicabili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evaluarea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formării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/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dezvoltării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acelei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competențe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.</w:t>
      </w:r>
    </w:p>
    <w:p w14:paraId="77AB755B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07C2290F" w14:textId="77777777" w:rsidR="00B56F0E" w:rsidRPr="00B56F0E" w:rsidRDefault="00B56F0E" w:rsidP="00B56F0E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n-GB"/>
        </w:rPr>
      </w:pPr>
      <w:proofErr w:type="spellStart"/>
      <w:r w:rsidRPr="00B56F0E"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n-GB"/>
        </w:rPr>
        <w:t>Rezolvare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n-GB"/>
        </w:rPr>
        <w:t>subiect</w:t>
      </w:r>
      <w:proofErr w:type="spellEnd"/>
      <w:r w:rsidRPr="00B56F0E"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n-GB"/>
        </w:rPr>
        <w:t>:</w:t>
      </w:r>
    </w:p>
    <w:p w14:paraId="3EADE7CF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30A2D55B" w14:textId="1DB44CD0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1. Fie x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lungimea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drumului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prima zi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parcurs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B56F0E">
        <w:rPr>
          <w:noProof/>
        </w:rPr>
        <w:drawing>
          <wp:inline distT="0" distB="0" distL="0" distR="0" wp14:anchorId="1C8B3624" wp14:editId="68C30C1B">
            <wp:extent cx="76200" cy="2952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restul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drumului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care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rămas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parcurs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B56F0E">
        <w:rPr>
          <w:noProof/>
        </w:rPr>
        <w:drawing>
          <wp:inline distT="0" distB="0" distL="0" distR="0" wp14:anchorId="23A8C0D2" wp14:editId="70FB4D74">
            <wp:extent cx="152400" cy="3238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.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zi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parcurs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  </w:t>
      </w:r>
      <w:r w:rsidRPr="00B56F0E">
        <w:rPr>
          <w:noProof/>
        </w:rPr>
        <w:drawing>
          <wp:inline distT="0" distB="0" distL="0" distR="0" wp14:anchorId="1BFA058B" wp14:editId="68D120C1">
            <wp:extent cx="57150" cy="2571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B56F0E">
        <w:rPr>
          <w:noProof/>
        </w:rPr>
        <w:drawing>
          <wp:inline distT="0" distB="0" distL="0" distR="0" wp14:anchorId="61B36363" wp14:editId="586F542D">
            <wp:extent cx="219075" cy="2476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B56F0E">
        <w:rPr>
          <w:noProof/>
        </w:rPr>
        <w:drawing>
          <wp:inline distT="0" distB="0" distL="0" distR="0" wp14:anchorId="39F8A827" wp14:editId="2D6895B7">
            <wp:extent cx="104775" cy="1809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B56F0E">
        <w:rPr>
          <w:noProof/>
        </w:rPr>
        <w:drawing>
          <wp:inline distT="0" distB="0" distL="0" distR="0" wp14:anchorId="1357BC2F" wp14:editId="240769F0">
            <wp:extent cx="123825" cy="2571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BFC6" w14:textId="4EBE9D56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Deci   </w:t>
      </w:r>
      <w:r w:rsidRPr="00B56F0E">
        <w:rPr>
          <w:noProof/>
        </w:rPr>
        <w:drawing>
          <wp:inline distT="0" distB="0" distL="0" distR="0" wp14:anchorId="27DB0CA6" wp14:editId="3A89AD00">
            <wp:extent cx="66675" cy="2381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B56F0E">
        <w:rPr>
          <w:noProof/>
        </w:rPr>
        <w:drawing>
          <wp:inline distT="0" distB="0" distL="0" distR="0" wp14:anchorId="19811147" wp14:editId="57EF55F0">
            <wp:extent cx="276225" cy="2571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 </w:t>
      </w:r>
      <w:r w:rsidRPr="00B56F0E">
        <w:rPr>
          <w:noProof/>
        </w:rPr>
        <w:drawing>
          <wp:inline distT="0" distB="0" distL="0" distR="0" wp14:anchorId="07808386" wp14:editId="73FF5F08">
            <wp:extent cx="2847975" cy="1809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D0638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67744C69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Metoda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: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daca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zi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parcurs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cinci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șesimi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rămas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280 km,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atunci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deduce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o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șesime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280 km,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șase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șesimi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reprezintă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1680 km. Dar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aceștia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reprezintă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pe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parte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sferturi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drum,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adică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un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sfert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560 km.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Înmulțind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4,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deducem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drumul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are 2240 km.</w:t>
      </w:r>
    </w:p>
    <w:p w14:paraId="73A44F94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018DCF24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2. 10x + 14 - 9x + 24 &gt; 9x = 6x + 10 + 13 </w:t>
      </w:r>
    </w:p>
    <w:p w14:paraId="38503A9F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Cambria Math" w:eastAsia="Times New Roman" w:hAnsi="Cambria Math" w:cs="Cambria Math"/>
          <w:color w:val="555555"/>
          <w:sz w:val="21"/>
          <w:szCs w:val="21"/>
          <w:lang w:eastAsia="en-GB"/>
        </w:rPr>
        <w:t>⇔</w:t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x + 38 &gt; 3x + 23 </w:t>
      </w:r>
    </w:p>
    <w:p w14:paraId="78E5B57C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Cambria Math" w:eastAsia="Times New Roman" w:hAnsi="Cambria Math" w:cs="Cambria Math"/>
          <w:color w:val="555555"/>
          <w:sz w:val="21"/>
          <w:szCs w:val="21"/>
          <w:lang w:eastAsia="en-GB"/>
        </w:rPr>
        <w:t>⇔</w:t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2x &lt; 15 </w:t>
      </w:r>
    </w:p>
    <w:p w14:paraId="1F70458B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Cambria Math" w:eastAsia="Times New Roman" w:hAnsi="Cambria Math" w:cs="Cambria Math"/>
          <w:color w:val="555555"/>
          <w:sz w:val="21"/>
          <w:szCs w:val="21"/>
          <w:lang w:eastAsia="en-GB"/>
        </w:rPr>
        <w:t>⇔</w:t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x &lt; 7,5 </w:t>
      </w:r>
    </w:p>
    <w:p w14:paraId="3128A3C3" w14:textId="1BECF119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Cambria Math" w:eastAsia="Times New Roman" w:hAnsi="Cambria Math" w:cs="Cambria Math"/>
          <w:color w:val="555555"/>
          <w:sz w:val="21"/>
          <w:szCs w:val="21"/>
          <w:lang w:eastAsia="en-GB"/>
        </w:rPr>
        <w:t>⇔</w:t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x </w:t>
      </w:r>
      <w:r w:rsidRPr="00B56F0E">
        <w:rPr>
          <w:noProof/>
        </w:rPr>
        <w:drawing>
          <wp:inline distT="0" distB="0" distL="0" distR="0" wp14:anchorId="68425E08" wp14:editId="43B899B1">
            <wp:extent cx="85725" cy="180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{0,1,2,3,4,5,6}</w:t>
      </w:r>
    </w:p>
    <w:p w14:paraId="7F1F4781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6E070DA1" w14:textId="66A911E3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3.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Triunghiul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isoscel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ABC are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baza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BC,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înălțimea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mediană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Aplicând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teorema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Pitagora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oricare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dintre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triunghiurile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ADB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sau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ADC,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obținem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AB = AC = 12 cm,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perimetrul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 = (24 + </w:t>
      </w: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12</w:t>
      </w:r>
      <w:r w:rsidRPr="00B56F0E">
        <w:rPr>
          <w:noProof/>
        </w:rPr>
        <w:drawing>
          <wp:inline distT="0" distB="0" distL="0" distR="0" wp14:anchorId="551E3524" wp14:editId="4F6EBF2D">
            <wp:extent cx="171450" cy="200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) cm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aria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= </w:t>
      </w:r>
      <w:r w:rsidRPr="00B56F0E">
        <w:rPr>
          <w:noProof/>
        </w:rPr>
        <w:drawing>
          <wp:inline distT="0" distB="0" distL="0" distR="0" wp14:anchorId="02E996ED" wp14:editId="4B3688E8">
            <wp:extent cx="371475" cy="3048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 </w:t>
      </w:r>
      <w:r w:rsidRPr="00B56F0E">
        <w:rPr>
          <w:noProof/>
        </w:rPr>
        <w:drawing>
          <wp:inline distT="0" distB="0" distL="0" distR="0" wp14:anchorId="564FA457" wp14:editId="0E00018B">
            <wp:extent cx="542925" cy="2095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B56F0E">
        <w:rPr>
          <w:noProof/>
        </w:rPr>
        <w:drawing>
          <wp:inline distT="0" distB="0" distL="0" distR="0" wp14:anchorId="486077D2" wp14:editId="1DB886A8">
            <wp:extent cx="266700" cy="190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1FA2DDBD" w14:textId="147BEA03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- Aria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fi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exprimată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ajutorul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bazei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AB, </w:t>
      </w:r>
      <w:proofErr w:type="spellStart"/>
      <w:proofErr w:type="gram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A</w:t>
      </w:r>
      <w:proofErr w:type="gram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B56F0E">
        <w:rPr>
          <w:noProof/>
        </w:rPr>
        <w:drawing>
          <wp:inline distT="0" distB="0" distL="0" distR="0" wp14:anchorId="37E19871" wp14:editId="0D8077AD">
            <wp:extent cx="400050" cy="276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, 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h = </w:t>
      </w:r>
      <w:r w:rsidRPr="00B56F0E">
        <w:rPr>
          <w:noProof/>
        </w:rPr>
        <w:drawing>
          <wp:inline distT="0" distB="0" distL="0" distR="0" wp14:anchorId="64A20921" wp14:editId="7352E135">
            <wp:extent cx="371475" cy="304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B56F0E">
        <w:rPr>
          <w:noProof/>
        </w:rPr>
        <w:drawing>
          <wp:inline distT="0" distB="0" distL="0" distR="0" wp14:anchorId="37452E46" wp14:editId="393814DA">
            <wp:extent cx="390525" cy="209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cm.</w:t>
      </w:r>
    </w:p>
    <w:p w14:paraId="46216610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0A555BD1" w14:textId="455B1C5E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4.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14 l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ocupă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un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volum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14000 </w:t>
      </w:r>
      <w:r w:rsidRPr="00B56F0E">
        <w:rPr>
          <w:noProof/>
        </w:rPr>
        <w:drawing>
          <wp:inline distT="0" distB="0" distL="0" distR="0" wp14:anchorId="740D13DC" wp14:editId="08FBF7B9">
            <wp:extent cx="285750" cy="19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Împărțind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aria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bazei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(28 x 20)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obținem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ridică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nivelul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25 cm,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rămân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până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sus 5 cm.</w:t>
      </w:r>
    </w:p>
    <w:p w14:paraId="07B018E7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09B7FD55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B.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Metodica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predării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matematicii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/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matematicii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explorării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mediului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(10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puncte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)</w:t>
      </w:r>
    </w:p>
    <w:p w14:paraId="727E6E2F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7755E5C6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lastRenderedPageBreak/>
        <w:t>a) 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Precizați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mijloace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didactice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strategii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diferențiere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individualizare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dar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forme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organizare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colectivului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necesare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pentru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forma/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dezvolta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competența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specifică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dată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355CE1EE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47542AD2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 Ca model, ne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alegem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o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lecție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consolidare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propunem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desfășurarea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astfel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:</w:t>
      </w:r>
    </w:p>
    <w:p w14:paraId="02FB9F72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0A209423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  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resursele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educaționale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constau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ilustrații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fișe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lucru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Materialul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exclusiv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concret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intuitiv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favorizează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rezolvarea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sarcinilor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gândite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nivelul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preoperațional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dezvoltare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gram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</w:t>
      </w:r>
      <w:proofErr w:type="gram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inteligenței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umane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 (</w:t>
      </w:r>
      <w:proofErr w:type="spellStart"/>
      <w:proofErr w:type="gram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rsta</w:t>
      </w:r>
      <w:proofErr w:type="spellEnd"/>
      <w:proofErr w:type="gram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7 ani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marchează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granița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dintre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stadiile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preoperațional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operațional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concret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fapt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un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avantaj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fiindcă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permite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învățătorului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creze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aplcații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susceptibile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dechida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calea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zona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proximei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dezvoltări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)</w:t>
      </w:r>
    </w:p>
    <w:p w14:paraId="1EDFAD47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  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numele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principiului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predării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diferențiate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optăm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pentru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strategiile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mixte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algoritmice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cadrul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lor, ne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focalizăm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atenția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asupra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metode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;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explicația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învățarea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colaborare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completare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vin, implicit,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următoarele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: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exercițiul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problematizarea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brainstormingul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Schimbă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perechea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conversația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consolidare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sistematizare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expunerea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scop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evaluativ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supunem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atenției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conversația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verificare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06074DDC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privește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organizarea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efectivului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considerăm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ortune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forme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: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microgrupurile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diadele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Dedesubt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notăm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detaliile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contextuale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consemnate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învățător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după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împărțirea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:</w:t>
      </w:r>
    </w:p>
    <w:p w14:paraId="6142A9AE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fiecare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dintre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grupuri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formate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având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față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enunțurile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problemelor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fișele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lucru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date,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completează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lacunare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denumirile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simbolurile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matematice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potrivite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Mai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apoi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sarcina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lor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rezolve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problemele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astfel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întregit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5574559C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Mai explicit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spus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școlarii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extrag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boluri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enunțuri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pe care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trebuie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completeze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expresii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uzuale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: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atât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mult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atât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putin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total.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trebuie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demonstreze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știu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opereze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simbolurile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matematice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gram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( +</w:t>
      </w:r>
      <w:proofErr w:type="gram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-, =)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atunci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rezolvă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probleme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adunând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scăzând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maximum 5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unități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concentrul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0 - 31,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numărare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suport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intuitiv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facultativ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fiecare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grup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membri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pot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asuma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rolul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evaluator,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rol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care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corectează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problemele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rezolvate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colegii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6B051849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3D81A7D3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 </w:t>
      </w: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 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perechi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,</w:t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școlarii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compun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probleme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diverse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denumiri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simboluri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matematice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După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asigură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sunt bine elaborate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efectuate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înmânează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colegilor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perechi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proofErr w:type="gram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vederea</w:t>
      </w:r>
      <w:proofErr w:type="spellEnd"/>
      <w:proofErr w:type="gram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rezolvării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lor. La un moment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dat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problemele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reîntorc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autorii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lor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scopul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corectării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virtutea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schimburilor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realizate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suntem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prezența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învățării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reciproce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implicit, </w:t>
      </w:r>
      <w:proofErr w:type="gram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</w:t>
      </w:r>
      <w:proofErr w:type="gram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evaluarii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intercolegiale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Ulterior,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perechi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reunesc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noua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formulă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li se cere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modifice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numerele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acțiunile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întrebările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problemele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efectuate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funcție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situație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întrebările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extind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sau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reduc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numărul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operații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plus,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li se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solicită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transforme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natura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problemelor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; din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adunare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într-unele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scădere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invers.</w:t>
      </w:r>
    </w:p>
    <w:p w14:paraId="32101482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 </w:t>
      </w:r>
    </w:p>
    <w:p w14:paraId="2DEF8450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Problemele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sunt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alcătuite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după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două-trei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imagini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tematice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puse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dispoziție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banci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Observându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-le, lor le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ușor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introducă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enunțuri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termeni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matematici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simpli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(Din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verificarea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încrucișată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efectuată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marginea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întrebărilor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finale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adresate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se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deduce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bine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stăpânesc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tipologia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fiecărei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probleme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cauză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).</w:t>
      </w:r>
    </w:p>
    <w:p w14:paraId="58B3B6AB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0173B483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Fără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doar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organizarea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face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frontal, la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debutul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ambelor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activități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-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timp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li se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oferă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explicații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dar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sfârșit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prezintă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rezultatele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obținute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Acela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momentul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înse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pune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duscuție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procedeul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care s-a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realizat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adunare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scăderea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concentrul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0 - 31,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fără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trecere4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trecere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ordin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Totodată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se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reactualizează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cunoștințele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despre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formarea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citirea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compararea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ordonarea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numerelor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concentrul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dat.</w:t>
      </w:r>
    </w:p>
    <w:p w14:paraId="4EE0B8C4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1E1D135E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lastRenderedPageBreak/>
        <w:t xml:space="preserve">   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Revenim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asupra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termenului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diferențiere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meționam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fondul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acestuia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oportunitatea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a-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exersa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stilurile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învățare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5C7CCC1F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vreme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valorifică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manieră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proprie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facilitează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procesele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sedimentare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cunoștințelor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operare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Iar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deasupra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învățătorul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descoperi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stiluri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îmbinat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succes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proofErr w:type="gram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viitoarele</w:t>
      </w:r>
      <w:proofErr w:type="spellEnd"/>
      <w:proofErr w:type="gram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demersuri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datorită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prezentei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abordări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(re)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creează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premisele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care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favorizează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apariția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altora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benefice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muncii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animate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spiritul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colaborativ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Pe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scurt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aceasta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îndeamnă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școlarii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reuneasca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forțele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numele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dezideratului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comun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: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obținerea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rezultatului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corect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concis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clar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complet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matematic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argumentat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Altfel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zis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munca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depusă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împreună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totuși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separat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- conform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principiului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individualizării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învățării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-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stimulează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apetitul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pentru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cooperare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Treptat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sunt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cuceriți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spiritul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echipă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detrimentulcelui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competitiv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Încet-încet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sub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influența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coeziunii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grup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micii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școlari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obișnuiesc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lureze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laolaltă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nu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doar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vederea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finașizării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sarcinii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timp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util, ci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pentru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împărți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victoria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Victoria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precum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oglinda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fețe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3AAFAC56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   Pe de o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parte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reflectă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atributele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rezultatelor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finale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așteptate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învățător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respectiv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natura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fiecărui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elev.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aici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putem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înțelege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bine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structurat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bine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aplicat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fost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proiectul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speță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flexibil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inovativ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atât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sporește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șansa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ajungere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cotele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maxime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-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primul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rând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noțiunilor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însușite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Drept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care,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învățătorul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trebuie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-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gândire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pracică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-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coerență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consistență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claritate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pertinență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complexitate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00732860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 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concluzie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lecția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totodată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una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reinstruire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una de (auto)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educare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fiecare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secvență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copiii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sunt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liberi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exprime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limbak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matematic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fie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vigilenți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operativi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comunicativi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motiveze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reciproc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5CE0A924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31C5A1BF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 </w:t>
      </w: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 b)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Elaborați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doi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itemi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evaluare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diferiți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din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categoria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itemilor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obiectivi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doi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itemi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evaluare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diferiți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categoria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itemilor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semiobictivi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aplicabili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evaluarea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formării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/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dezvoltării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acelei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competențe</w:t>
      </w:r>
      <w:proofErr w:type="spellEnd"/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.</w:t>
      </w:r>
    </w:p>
    <w:p w14:paraId="05DAEF43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3B198CC5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      I. </w:t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Din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categoria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obiectivi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supunem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atenției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un item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alegere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duală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alegere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multiplă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5E3A3A94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   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primul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rând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alcătuim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care sunt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obișnuiți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copiii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sala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grupă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grădiniței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urmare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continuarea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enunțurilor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date,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observă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literele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(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adevarat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)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F (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fals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).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funcție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caz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pe una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dintre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copiii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trebuie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o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încercuiască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atunci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li se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citește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enunțul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 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Aici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au 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fost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 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adăugate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 5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unități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, 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respectiv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 </w:t>
      </w: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De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aici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au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fost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 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luate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 5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unități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.</w:t>
      </w:r>
    </w:p>
    <w:p w14:paraId="7AE637DF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6CFA6CBB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       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al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doilea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rând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compunem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itemi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având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varinate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răspuns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Pornim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la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premisa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12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rezultatul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probleme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date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cadrul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lecției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redăm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jos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:</w:t>
      </w:r>
    </w:p>
    <w:p w14:paraId="5E2A328D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13E2255D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   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Numărul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12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poate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fi format:</w:t>
      </w:r>
    </w:p>
    <w:p w14:paraId="65C027F7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      a)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dintr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-o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zece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unități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;</w:t>
      </w:r>
    </w:p>
    <w:p w14:paraId="17CA1E00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      b) din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numerele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6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7</w:t>
      </w:r>
    </w:p>
    <w:p w14:paraId="3FEDB5B9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      c) din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numerele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9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2</w:t>
      </w:r>
    </w:p>
    <w:p w14:paraId="1D615E3D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(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Atenție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!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Doar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o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varinată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răspuns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corectă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)</w:t>
      </w:r>
    </w:p>
    <w:p w14:paraId="3B691072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48A8A76D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                        </w:t>
      </w:r>
      <w:r w:rsidRPr="00B56F0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  SAU</w:t>
      </w:r>
    </w:p>
    <w:p w14:paraId="092BDB6A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     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Numărul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12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poate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fi format:</w:t>
      </w:r>
    </w:p>
    <w:p w14:paraId="728D2AAD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     a)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dintr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-o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mulțime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de 12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elemente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;</w:t>
      </w:r>
    </w:p>
    <w:p w14:paraId="2CAB1F64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     b) din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mulțimi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câte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6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elemente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;</w:t>
      </w:r>
    </w:p>
    <w:p w14:paraId="3BE01293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lastRenderedPageBreak/>
        <w:t xml:space="preserve">     c) din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patru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mulțimi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câte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4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elemente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:</w:t>
      </w:r>
    </w:p>
    <w:p w14:paraId="1E3563AD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(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Atenție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!) O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variantă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răspuns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e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incorectă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Trasează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peste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acesta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o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linie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dreaptă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creionul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roșu</w:t>
      </w:r>
      <w:proofErr w:type="spellEnd"/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).</w:t>
      </w:r>
    </w:p>
    <w:p w14:paraId="013DA843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356CBF99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II.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iar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categoria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itemilor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semiobiectivi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reținem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răspuns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scurt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o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întrebare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structurată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27FF1F56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</w:t>
      </w:r>
    </w:p>
    <w:p w14:paraId="0161E184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Așa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cum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precizam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prima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parte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lucrării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noastre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fișe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au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completat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niște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lacunare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denumirile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simbolurile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matematice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potrivite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pildă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într-oproblemă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dată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grup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pe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liniile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punctate,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au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notat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cu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atât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mai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mult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total</w:t>
      </w: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.</w:t>
      </w:r>
    </w:p>
    <w:p w14:paraId="23152C11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  </w:t>
      </w: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pildă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-o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problemă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dată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unui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grup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pe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liniile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punctate,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au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notat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cu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atât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mai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puțin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gram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total..</w:t>
      </w:r>
      <w:proofErr w:type="gram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 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paranteză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menționeaza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simbolurile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corespunzătoare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: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după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caz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+, -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sau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=.</w:t>
      </w:r>
    </w:p>
    <w:p w14:paraId="7E485AF8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continuarea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fiecărei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probleme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adăugată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o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întrebare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structurată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formulată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astfel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:</w:t>
      </w:r>
    </w:p>
    <w:p w14:paraId="38D6DCC9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</w:t>
      </w:r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Ca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obții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rezultatul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corect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câte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mărgele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ai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numărat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plus?</w:t>
      </w:r>
    </w:p>
    <w:p w14:paraId="25E0D07B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   Ca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sa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obții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rezultatul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corect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câte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mărgele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ai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numărat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 xml:space="preserve"> minus?</w:t>
      </w:r>
    </w:p>
    <w:p w14:paraId="3CAAC0C5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7DB22758" w14:textId="77777777" w:rsidR="00B56F0E" w:rsidRPr="00B56F0E" w:rsidRDefault="00B56F0E" w:rsidP="00B56F0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Acești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itemi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altii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asemănătoripot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servi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atingerea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multor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rezultate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bune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partea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tuturor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elevilor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Încercând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fie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aproape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fiecăruia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învățătorul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respectă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egală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măsură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pruncipii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deosebit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importante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: al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individualității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al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egalității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șanse</w:t>
      </w:r>
      <w:proofErr w:type="spellEnd"/>
      <w:r w:rsidRPr="00B56F0E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20AAD3B0" w14:textId="77777777" w:rsidR="008F3406" w:rsidRDefault="008F3406"/>
    <w:sectPr w:rsidR="008F3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8"/>
    <w:rsid w:val="008775D8"/>
    <w:rsid w:val="008F3406"/>
    <w:rsid w:val="00B5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14EEA"/>
  <w15:chartTrackingRefBased/>
  <w15:docId w15:val="{FD1F9F72-2CC2-469B-97F5-41EF47D7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6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F0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5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56F0E"/>
    <w:rPr>
      <w:b/>
      <w:bCs/>
    </w:rPr>
  </w:style>
  <w:style w:type="character" w:styleId="Emphasis">
    <w:name w:val="Emphasis"/>
    <w:basedOn w:val="DefaultParagraphFont"/>
    <w:uiPriority w:val="20"/>
    <w:qFormat/>
    <w:rsid w:val="00B56F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1755</Words>
  <Characters>10005</Characters>
  <Application>Microsoft Office Word</Application>
  <DocSecurity>0</DocSecurity>
  <Lines>83</Lines>
  <Paragraphs>23</Paragraphs>
  <ScaleCrop>false</ScaleCrop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2025-06-15T07:47:00Z</dcterms:created>
  <dcterms:modified xsi:type="dcterms:W3CDTF">2025-06-15T07:48:00Z</dcterms:modified>
</cp:coreProperties>
</file>