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9DAC" w14:textId="77777777" w:rsidR="00774A30" w:rsidRPr="00774A30" w:rsidRDefault="00774A30" w:rsidP="00774A30">
      <w:pPr>
        <w:rPr>
          <w:b/>
          <w:bCs/>
        </w:rPr>
      </w:pPr>
      <w:r w:rsidRPr="00774A30">
        <w:rPr>
          <w:b/>
          <w:bCs/>
        </w:rPr>
        <w:t>Învățarea Școlară: Abordări Teoretice, Tipologii și Condiții de Eficiență</w:t>
      </w:r>
    </w:p>
    <w:p w14:paraId="7421AABF" w14:textId="77777777" w:rsidR="00774A30" w:rsidRPr="00774A30" w:rsidRDefault="00774A30" w:rsidP="00774A30">
      <w:r w:rsidRPr="00774A30">
        <w:t>Învățarea este un proces fundamental prin care individul se adaptează mediului și își dezvoltă personalitatea. În mediul instituționalizat, acest fenomen capătă valențe specifice, devenind axul central în jurul căruia este construit întregul efort educațional.</w:t>
      </w:r>
    </w:p>
    <w:p w14:paraId="4AA0445E" w14:textId="77777777" w:rsidR="00774A30" w:rsidRPr="00774A30" w:rsidRDefault="00774A30" w:rsidP="00774A30">
      <w:pPr>
        <w:rPr>
          <w:b/>
          <w:bCs/>
        </w:rPr>
      </w:pPr>
      <w:r w:rsidRPr="00774A30">
        <w:rPr>
          <w:b/>
          <w:bCs/>
        </w:rPr>
        <w:t>Conceptele de învățare, forme, tipuri și niveluri</w:t>
      </w:r>
    </w:p>
    <w:p w14:paraId="016BA20B" w14:textId="77777777" w:rsidR="00774A30" w:rsidRPr="00774A30" w:rsidRDefault="00774A30" w:rsidP="00774A30">
      <w:r w:rsidRPr="00774A30">
        <w:t xml:space="preserve">În </w:t>
      </w:r>
      <w:r w:rsidRPr="00774A30">
        <w:rPr>
          <w:i/>
          <w:iCs/>
        </w:rPr>
        <w:t>sens larg</w:t>
      </w:r>
      <w:r w:rsidRPr="00774A30">
        <w:t xml:space="preserve">, </w:t>
      </w:r>
      <w:r w:rsidRPr="00774A30">
        <w:rPr>
          <w:b/>
          <w:bCs/>
        </w:rPr>
        <w:t>învățarea</w:t>
      </w:r>
      <w:r w:rsidRPr="00774A30">
        <w:t xml:space="preserve"> reprezintă orice schimbare relativ permanentă în comportamentul, cunoașterea sau afectivitatea unui individ, ca rezultat al experienței. </w:t>
      </w:r>
      <w:r w:rsidRPr="00774A30">
        <w:rPr>
          <w:b/>
          <w:bCs/>
        </w:rPr>
        <w:t>Învățarea școlară</w:t>
      </w:r>
      <w:r w:rsidRPr="00774A30">
        <w:t xml:space="preserve"> reprezintă o formă particulară a acesteia: este un proces intenționat, organizat sistematic, condus de personal calificat și orientat spre atingerea unor finalități precis definite (asimilarea de cunoștințe, formarea de deprinderi, atitudini și competențe).</w:t>
      </w:r>
    </w:p>
    <w:p w14:paraId="193435F2" w14:textId="77777777" w:rsidR="00774A30" w:rsidRPr="00774A30" w:rsidRDefault="00774A30" w:rsidP="00774A30">
      <w:r w:rsidRPr="00774A30">
        <w:t xml:space="preserve">Procesul se manifestă sub diverse </w:t>
      </w:r>
      <w:r w:rsidRPr="00774A30">
        <w:rPr>
          <w:b/>
          <w:bCs/>
        </w:rPr>
        <w:t>forme</w:t>
      </w:r>
      <w:r w:rsidRPr="00774A30">
        <w:t xml:space="preserve"> (învățare latentă, spontană sau conștientă) și se structurează pe diferite </w:t>
      </w:r>
      <w:r w:rsidRPr="00774A30">
        <w:rPr>
          <w:b/>
          <w:bCs/>
        </w:rPr>
        <w:t>tipuri</w:t>
      </w:r>
      <w:r w:rsidRPr="00774A30">
        <w:t xml:space="preserve">. Din perspectiva laturii personalității vizate, vorbim despre învățare </w:t>
      </w:r>
      <w:r w:rsidRPr="00774A30">
        <w:rPr>
          <w:i/>
          <w:iCs/>
        </w:rPr>
        <w:t>cognitivă</w:t>
      </w:r>
      <w:r w:rsidRPr="00774A30">
        <w:t xml:space="preserve"> (intelectuală), </w:t>
      </w:r>
      <w:r w:rsidRPr="00774A30">
        <w:rPr>
          <w:i/>
          <w:iCs/>
        </w:rPr>
        <w:t>psihomotorie</w:t>
      </w:r>
      <w:r w:rsidRPr="00774A30">
        <w:t xml:space="preserve"> (formarea deprinderilor fizice) și </w:t>
      </w:r>
      <w:r w:rsidRPr="00774A30">
        <w:rPr>
          <w:i/>
          <w:iCs/>
        </w:rPr>
        <w:t>afectiv-motivațională</w:t>
      </w:r>
      <w:r w:rsidRPr="00774A30">
        <w:t xml:space="preserve">. Din perspectiva modului de prelucrare a informației, David Ausubel distinge între învățarea </w:t>
      </w:r>
      <w:r w:rsidRPr="00774A30">
        <w:rPr>
          <w:i/>
          <w:iCs/>
        </w:rPr>
        <w:t>mecanică</w:t>
      </w:r>
      <w:r w:rsidRPr="00774A30">
        <w:t xml:space="preserve"> (prin memorare fără înțelegere) și învățarea </w:t>
      </w:r>
      <w:r w:rsidRPr="00774A30">
        <w:rPr>
          <w:i/>
          <w:iCs/>
        </w:rPr>
        <w:t>conștientă / logică</w:t>
      </w:r>
      <w:r w:rsidRPr="00774A30">
        <w:t xml:space="preserve"> (ancorarea noilor informații în structurile cognitive preexistente).</w:t>
      </w:r>
    </w:p>
    <w:p w14:paraId="0306565E" w14:textId="77777777" w:rsidR="00774A30" w:rsidRPr="00774A30" w:rsidRDefault="00774A30" w:rsidP="00774A30">
      <w:r w:rsidRPr="00774A30">
        <w:t xml:space="preserve">De asemenea, Robert Gagne a ierarhizat învățarea pe </w:t>
      </w:r>
      <w:r w:rsidRPr="00774A30">
        <w:rPr>
          <w:b/>
          <w:bCs/>
        </w:rPr>
        <w:t>niveluri</w:t>
      </w:r>
      <w:r w:rsidRPr="00774A30">
        <w:t xml:space="preserve"> de complexitate, de la învățarea de semnale și reacții (baza piramidei) până la învățarea noțiunilor, a regulilor și, în vârf, rezolvarea de probleme, sugerând că un nivel superior nu poate fi atins fără stăpânirea celor inferioare.</w:t>
      </w:r>
    </w:p>
    <w:p w14:paraId="252BFDC6" w14:textId="77777777" w:rsidR="00774A30" w:rsidRPr="00774A30" w:rsidRDefault="00774A30" w:rsidP="00774A30">
      <w:pPr>
        <w:rPr>
          <w:b/>
          <w:bCs/>
        </w:rPr>
      </w:pPr>
      <w:r w:rsidRPr="00774A30">
        <w:rPr>
          <w:b/>
          <w:bCs/>
        </w:rPr>
        <w:t>Orientări în teoriile contemporane ale învățării</w:t>
      </w:r>
    </w:p>
    <w:p w14:paraId="23B357CF" w14:textId="77777777" w:rsidR="00774A30" w:rsidRPr="00774A30" w:rsidRDefault="00774A30" w:rsidP="00774A30">
      <w:r w:rsidRPr="00774A30">
        <w:t>Evoluția psihologiei a generat diverse teorii care explică mecanismele învățării, fiecare având o relevanță majoră pentru instruirea școlară:</w:t>
      </w:r>
    </w:p>
    <w:p w14:paraId="323C5BE1" w14:textId="77777777" w:rsidR="00774A30" w:rsidRPr="00774A30" w:rsidRDefault="00774A30" w:rsidP="00774A30">
      <w:pPr>
        <w:numPr>
          <w:ilvl w:val="0"/>
          <w:numId w:val="1"/>
        </w:numPr>
      </w:pPr>
      <w:r w:rsidRPr="00774A30">
        <w:rPr>
          <w:b/>
          <w:bCs/>
        </w:rPr>
        <w:t>Teoriile asociaționiste / behavioriste (Pavlov, Skinner):</w:t>
      </w:r>
      <w:r w:rsidRPr="00774A30">
        <w:t xml:space="preserve"> Explică învățarea ca o modificare a comportamentului bazată pe asocierea stimul-răspuns și pe sistemul de recompense și pedepse. Relevanța lor școlară se regăsește în instruirea programată, în formarea deprinderilor de bază și în tehnicile de modificare comportamentală.</w:t>
      </w:r>
    </w:p>
    <w:p w14:paraId="509DA75C" w14:textId="77777777" w:rsidR="00774A30" w:rsidRPr="00774A30" w:rsidRDefault="00774A30" w:rsidP="00774A30">
      <w:pPr>
        <w:numPr>
          <w:ilvl w:val="0"/>
          <w:numId w:val="1"/>
        </w:numPr>
      </w:pPr>
      <w:r w:rsidRPr="00774A30">
        <w:rPr>
          <w:b/>
          <w:bCs/>
        </w:rPr>
        <w:t>Teoriile cognitiviste (Piaget, Bruner):</w:t>
      </w:r>
      <w:r w:rsidRPr="00774A30">
        <w:t xml:space="preserve"> Mută accentul de pe comportamentul observabil pe procesele mentale interne (percepție, memorie, gândire). Ele subliniază importanța adaptării predării la stadiile de dezvoltare cognitivă (Piaget) și valoarea învățării prin descoperire (Bruner).</w:t>
      </w:r>
    </w:p>
    <w:p w14:paraId="4B2A43BC" w14:textId="77777777" w:rsidR="00774A30" w:rsidRPr="00774A30" w:rsidRDefault="00774A30" w:rsidP="00774A30">
      <w:pPr>
        <w:numPr>
          <w:ilvl w:val="0"/>
          <w:numId w:val="1"/>
        </w:numPr>
      </w:pPr>
      <w:r w:rsidRPr="00774A30">
        <w:rPr>
          <w:b/>
          <w:bCs/>
        </w:rPr>
        <w:t>Teoria constructivistă (Vîgotski):</w:t>
      </w:r>
      <w:r w:rsidRPr="00774A30">
        <w:t xml:space="preserve"> Este paradigma dominantă astăzi. Aceasta susține că elevul nu absoarbe pasiv informația, ci își construiește activ propria cunoaștere, pornind de la experiențele anterioare. În plus, Vîgotski subliniază importanța învățării ca proces social (zona proximei dezvoltări), subliniind rolul interacțiunii elevului cu profesorul și cu colegii.</w:t>
      </w:r>
    </w:p>
    <w:p w14:paraId="2F755439" w14:textId="77777777" w:rsidR="00774A30" w:rsidRPr="00774A30" w:rsidRDefault="00774A30" w:rsidP="00774A30">
      <w:pPr>
        <w:rPr>
          <w:b/>
          <w:bCs/>
        </w:rPr>
      </w:pPr>
      <w:r w:rsidRPr="00774A30">
        <w:rPr>
          <w:b/>
          <w:bCs/>
        </w:rPr>
        <w:t>Condițiile învățării școlare eficiente</w:t>
      </w:r>
    </w:p>
    <w:p w14:paraId="432CC8C7" w14:textId="77777777" w:rsidR="00774A30" w:rsidRPr="00774A30" w:rsidRDefault="00774A30" w:rsidP="00774A30">
      <w:r w:rsidRPr="00774A30">
        <w:t xml:space="preserve">Eficiența învățării nu este garantată doar de calitatea predării, ci este rezultatul unei interacțiuni complexe între </w:t>
      </w:r>
      <w:r w:rsidRPr="00774A30">
        <w:rPr>
          <w:b/>
          <w:bCs/>
        </w:rPr>
        <w:t>condițiile interne</w:t>
      </w:r>
      <w:r w:rsidRPr="00774A30">
        <w:t xml:space="preserve"> (ale elevului) și cele </w:t>
      </w:r>
      <w:r w:rsidRPr="00774A30">
        <w:rPr>
          <w:b/>
          <w:bCs/>
        </w:rPr>
        <w:t>externe</w:t>
      </w:r>
      <w:r w:rsidRPr="00774A30">
        <w:t xml:space="preserve"> (ale mediului educațional).</w:t>
      </w:r>
    </w:p>
    <w:p w14:paraId="281F4B5E" w14:textId="77777777" w:rsidR="00774A30" w:rsidRPr="00774A30" w:rsidRDefault="00774A30" w:rsidP="00774A30">
      <w:r w:rsidRPr="00774A30">
        <w:rPr>
          <w:i/>
          <w:iCs/>
        </w:rPr>
        <w:t>Condițiile interne</w:t>
      </w:r>
      <w:r w:rsidRPr="00774A30">
        <w:t xml:space="preserve"> țin de echipamentul biopsihologic al educabilului: potențialul intelectual, stadiul dezvoltării cognitive, motivația, stările afective, cunoștințele anterioare și starea de sănătate. </w:t>
      </w:r>
      <w:r w:rsidRPr="00774A30">
        <w:rPr>
          <w:i/>
          <w:iCs/>
        </w:rPr>
        <w:t>Condițiile externe</w:t>
      </w:r>
      <w:r w:rsidRPr="00774A30">
        <w:t xml:space="preserve"> reprezintă variabilele mediului: competența și stilul profesorului, calitatea </w:t>
      </w:r>
      <w:r w:rsidRPr="00774A30">
        <w:lastRenderedPageBreak/>
        <w:t>manualelor și a mijloacelor de învățământ, organizarea spațiului, clima din clasă, precum și mediul familial.</w:t>
      </w:r>
    </w:p>
    <w:p w14:paraId="539B1D27" w14:textId="77777777" w:rsidR="00774A30" w:rsidRPr="00774A30" w:rsidRDefault="00774A30" w:rsidP="00774A30">
      <w:r w:rsidRPr="00774A30">
        <w:t xml:space="preserve">Aceste două categorii se află într-o </w:t>
      </w:r>
      <w:r w:rsidRPr="00774A30">
        <w:rPr>
          <w:b/>
          <w:bCs/>
        </w:rPr>
        <w:t>interdependență</w:t>
      </w:r>
      <w:r w:rsidRPr="00774A30">
        <w:t xml:space="preserve"> permanentă. Condițiile externe nu pot produce învățarea dacă elevul nu este pregătit intern (lipsă de motivație sau cunoștințe lacunare), la fel cum un potențial intern ridicat poate fi irosit într-un mediu extern sărac sau nestimulativ.</w:t>
      </w:r>
    </w:p>
    <w:p w14:paraId="3F5E1B9C" w14:textId="2194F904" w:rsidR="00E51F71" w:rsidRDefault="00774A30">
      <w:r w:rsidRPr="00774A30">
        <w:t>Valorificarea și optimizarea acestor condiții în procesul didactic presupune o diagnoză atentă din partea profesorului. Acesta trebuie să creeze un mediu extern favorabil (metode atractive, suporturi moderne) capabil să stimuleze factorii interni (să trezească interesul, să ancoreze noul în vechi, să asigure succesul), generând astfel un climat propice învățării de calitate.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7E1"/>
    <w:multiLevelType w:val="multilevel"/>
    <w:tmpl w:val="C9A4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08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86"/>
    <w:rsid w:val="00553786"/>
    <w:rsid w:val="00774A30"/>
    <w:rsid w:val="00913256"/>
    <w:rsid w:val="00CB352D"/>
    <w:rsid w:val="00E51F71"/>
    <w:rsid w:val="00E73B1A"/>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CFEF"/>
  <w15:chartTrackingRefBased/>
  <w15:docId w15:val="{EAB5FDAF-A391-480C-95ED-6CAAC48A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7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7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7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7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7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7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7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7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7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7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786"/>
    <w:rPr>
      <w:rFonts w:eastAsiaTheme="majorEastAsia" w:cstheme="majorBidi"/>
      <w:color w:val="272727" w:themeColor="text1" w:themeTint="D8"/>
    </w:rPr>
  </w:style>
  <w:style w:type="paragraph" w:styleId="Title">
    <w:name w:val="Title"/>
    <w:basedOn w:val="Normal"/>
    <w:next w:val="Normal"/>
    <w:link w:val="TitleChar"/>
    <w:uiPriority w:val="10"/>
    <w:qFormat/>
    <w:rsid w:val="00553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786"/>
    <w:pPr>
      <w:spacing w:before="160"/>
      <w:jc w:val="center"/>
    </w:pPr>
    <w:rPr>
      <w:i/>
      <w:iCs/>
      <w:color w:val="404040" w:themeColor="text1" w:themeTint="BF"/>
    </w:rPr>
  </w:style>
  <w:style w:type="character" w:customStyle="1" w:styleId="QuoteChar">
    <w:name w:val="Quote Char"/>
    <w:basedOn w:val="DefaultParagraphFont"/>
    <w:link w:val="Quote"/>
    <w:uiPriority w:val="29"/>
    <w:rsid w:val="00553786"/>
    <w:rPr>
      <w:i/>
      <w:iCs/>
      <w:color w:val="404040" w:themeColor="text1" w:themeTint="BF"/>
    </w:rPr>
  </w:style>
  <w:style w:type="paragraph" w:styleId="ListParagraph">
    <w:name w:val="List Paragraph"/>
    <w:basedOn w:val="Normal"/>
    <w:uiPriority w:val="34"/>
    <w:qFormat/>
    <w:rsid w:val="00553786"/>
    <w:pPr>
      <w:ind w:left="720"/>
      <w:contextualSpacing/>
    </w:pPr>
  </w:style>
  <w:style w:type="character" w:styleId="IntenseEmphasis">
    <w:name w:val="Intense Emphasis"/>
    <w:basedOn w:val="DefaultParagraphFont"/>
    <w:uiPriority w:val="21"/>
    <w:qFormat/>
    <w:rsid w:val="00553786"/>
    <w:rPr>
      <w:i/>
      <w:iCs/>
      <w:color w:val="2F5496" w:themeColor="accent1" w:themeShade="BF"/>
    </w:rPr>
  </w:style>
  <w:style w:type="paragraph" w:styleId="IntenseQuote">
    <w:name w:val="Intense Quote"/>
    <w:basedOn w:val="Normal"/>
    <w:next w:val="Normal"/>
    <w:link w:val="IntenseQuoteChar"/>
    <w:uiPriority w:val="30"/>
    <w:qFormat/>
    <w:rsid w:val="00553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786"/>
    <w:rPr>
      <w:i/>
      <w:iCs/>
      <w:color w:val="2F5496" w:themeColor="accent1" w:themeShade="BF"/>
    </w:rPr>
  </w:style>
  <w:style w:type="character" w:styleId="IntenseReference">
    <w:name w:val="Intense Reference"/>
    <w:basedOn w:val="DefaultParagraphFont"/>
    <w:uiPriority w:val="32"/>
    <w:qFormat/>
    <w:rsid w:val="005537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2</cp:revision>
  <dcterms:created xsi:type="dcterms:W3CDTF">2026-06-29T12:06:00Z</dcterms:created>
  <dcterms:modified xsi:type="dcterms:W3CDTF">2026-06-29T12:06:00Z</dcterms:modified>
</cp:coreProperties>
</file>