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D642D" w14:textId="77777777" w:rsidR="003903F5" w:rsidRPr="00B46F9B" w:rsidRDefault="003903F5" w:rsidP="00B46F9B">
      <w:pPr>
        <w:jc w:val="both"/>
        <w:rPr>
          <w:rFonts w:ascii="Cambria" w:hAnsi="Cambria"/>
          <w:b/>
          <w:bCs/>
          <w:sz w:val="24"/>
          <w:szCs w:val="24"/>
        </w:rPr>
      </w:pPr>
      <w:r w:rsidRPr="00B46F9B">
        <w:rPr>
          <w:rFonts w:ascii="Cambria" w:hAnsi="Cambria"/>
          <w:b/>
          <w:bCs/>
          <w:sz w:val="24"/>
          <w:szCs w:val="24"/>
        </w:rPr>
        <w:t>Metodologia didactică specifică predării-învățării ordinii efectuării operațiilor și utilizării parantezelor</w:t>
      </w:r>
    </w:p>
    <w:p w14:paraId="3178D8B5" w14:textId="77777777" w:rsidR="003903F5" w:rsidRPr="00B46F9B" w:rsidRDefault="003903F5" w:rsidP="00B46F9B">
      <w:pPr>
        <w:jc w:val="both"/>
        <w:rPr>
          <w:rFonts w:ascii="Cambria" w:hAnsi="Cambria"/>
          <w:sz w:val="24"/>
          <w:szCs w:val="24"/>
        </w:rPr>
      </w:pPr>
      <w:r w:rsidRPr="00B46F9B">
        <w:rPr>
          <w:rFonts w:ascii="Cambria" w:hAnsi="Cambria"/>
          <w:sz w:val="24"/>
          <w:szCs w:val="24"/>
        </w:rPr>
        <w:t xml:space="preserve">Trecerea de la calcule singulare la rezolvarea unor expresii matematice complexe marchează un moment critic în dezvoltarea gândirii matematice. Dificultatea principală provine din faptul că elevul este obișnuit să citească și să rezolve totul </w:t>
      </w:r>
      <w:r w:rsidRPr="00B46F9B">
        <w:rPr>
          <w:rFonts w:ascii="Cambria" w:hAnsi="Cambria"/>
          <w:b/>
          <w:bCs/>
          <w:sz w:val="24"/>
          <w:szCs w:val="24"/>
        </w:rPr>
        <w:t>liniar, de la stânga la dreapta</w:t>
      </w:r>
      <w:r w:rsidRPr="00B46F9B">
        <w:rPr>
          <w:rFonts w:ascii="Cambria" w:hAnsi="Cambria"/>
          <w:sz w:val="24"/>
          <w:szCs w:val="24"/>
        </w:rPr>
        <w:t>.</w:t>
      </w:r>
    </w:p>
    <w:p w14:paraId="041E60BD" w14:textId="77777777" w:rsidR="003903F5" w:rsidRPr="00B46F9B" w:rsidRDefault="003903F5" w:rsidP="00B46F9B">
      <w:pPr>
        <w:jc w:val="both"/>
        <w:rPr>
          <w:rFonts w:ascii="Cambria" w:hAnsi="Cambria"/>
          <w:sz w:val="24"/>
          <w:szCs w:val="24"/>
        </w:rPr>
      </w:pPr>
      <w:r w:rsidRPr="00B46F9B">
        <w:rPr>
          <w:rFonts w:ascii="Cambria" w:hAnsi="Cambria"/>
          <w:sz w:val="24"/>
          <w:szCs w:val="24"/>
        </w:rPr>
        <w:t>Ordinea efectuării operațiilor îi cere copilului să își suspende acest reflex, să scaneze vizual întregul exercițiu și să aplice o ierarhie. Pentru a preveni blocajele, programa prevede o predare strict etapizată, desfășurată pe parcursul claselor a III-a și a IV-a.</w:t>
      </w:r>
    </w:p>
    <w:p w14:paraId="1C71E2FE" w14:textId="77777777" w:rsidR="003903F5" w:rsidRPr="00B46F9B" w:rsidRDefault="003903F5" w:rsidP="00B46F9B">
      <w:pPr>
        <w:jc w:val="both"/>
        <w:rPr>
          <w:rFonts w:ascii="Cambria" w:hAnsi="Cambria"/>
          <w:b/>
          <w:bCs/>
          <w:sz w:val="24"/>
          <w:szCs w:val="24"/>
        </w:rPr>
      </w:pPr>
      <w:r w:rsidRPr="00B46F9B">
        <w:rPr>
          <w:rFonts w:ascii="Cambria" w:hAnsi="Cambria"/>
          <w:b/>
          <w:bCs/>
          <w:sz w:val="24"/>
          <w:szCs w:val="24"/>
        </w:rPr>
        <w:t>Etapele metodice ale predării</w:t>
      </w:r>
    </w:p>
    <w:p w14:paraId="581DE3D1" w14:textId="77777777" w:rsidR="003903F5" w:rsidRPr="00B46F9B" w:rsidRDefault="003903F5" w:rsidP="00B46F9B">
      <w:pPr>
        <w:jc w:val="both"/>
        <w:rPr>
          <w:rFonts w:ascii="Cambria" w:hAnsi="Cambria"/>
          <w:sz w:val="24"/>
          <w:szCs w:val="24"/>
        </w:rPr>
      </w:pPr>
      <w:r w:rsidRPr="00B46F9B">
        <w:rPr>
          <w:rFonts w:ascii="Cambria" w:hAnsi="Cambria"/>
          <w:sz w:val="24"/>
          <w:szCs w:val="24"/>
        </w:rPr>
        <w:t>Fiecare etapă adaugă o singură regulă nouă, consolidând-o pe cea anterioară.</w:t>
      </w:r>
    </w:p>
    <w:p w14:paraId="0DB9B5F3" w14:textId="77777777" w:rsidR="003903F5" w:rsidRPr="00B46F9B" w:rsidRDefault="003903F5" w:rsidP="00B46F9B">
      <w:pPr>
        <w:jc w:val="both"/>
        <w:rPr>
          <w:rFonts w:ascii="Cambria" w:hAnsi="Cambria"/>
          <w:sz w:val="24"/>
          <w:szCs w:val="24"/>
        </w:rPr>
      </w:pPr>
      <w:r w:rsidRPr="00B46F9B">
        <w:rPr>
          <w:rFonts w:ascii="Cambria" w:hAnsi="Cambria"/>
          <w:b/>
          <w:bCs/>
          <w:sz w:val="24"/>
          <w:szCs w:val="24"/>
        </w:rPr>
        <w:t>1.Expresii cu operații de același ordin:</w:t>
      </w:r>
      <w:r w:rsidRPr="00B46F9B">
        <w:rPr>
          <w:rFonts w:ascii="Cambria" w:hAnsi="Cambria"/>
          <w:sz w:val="24"/>
          <w:szCs w:val="24"/>
        </w:rPr>
        <w:t>Adunări și scăderi SAU înmulțiri și împărțiri.</w:t>
      </w:r>
    </w:p>
    <w:p w14:paraId="2885E9C5" w14:textId="0BF20821" w:rsidR="003903F5" w:rsidRPr="00B46F9B" w:rsidRDefault="003903F5" w:rsidP="00B46F9B">
      <w:pPr>
        <w:jc w:val="both"/>
        <w:rPr>
          <w:rFonts w:ascii="Cambria" w:hAnsi="Cambria"/>
          <w:sz w:val="24"/>
          <w:szCs w:val="24"/>
        </w:rPr>
      </w:pPr>
      <w:r w:rsidRPr="00B46F9B">
        <w:rPr>
          <w:rFonts w:ascii="Cambria" w:hAnsi="Cambria"/>
          <w:sz w:val="24"/>
          <w:szCs w:val="24"/>
        </w:rPr>
        <w:t xml:space="preserve">Se predă regula de bază: când exercițiul conține doar operații de ordinul I (adunări/scăderi) sau doar de ordinul II (înmulțiri/împărțiri), calculul se face strict în ordinea în care sunt scrise (de la stânga la dreapta). Se folosesc probleme-poveste cronologice pentru a justifica regula: </w:t>
      </w:r>
      <w:r w:rsidRPr="00B46F9B">
        <w:rPr>
          <w:rFonts w:ascii="Cambria" w:hAnsi="Cambria"/>
          <w:i/>
          <w:iCs/>
          <w:sz w:val="24"/>
          <w:szCs w:val="24"/>
        </w:rPr>
        <w:t>„Aveam 10 lei, am cheltuit 4 lei, apoi am primit 2 lei”</w:t>
      </w:r>
      <w:r w:rsidRPr="00B46F9B">
        <w:rPr>
          <w:rFonts w:ascii="Cambria" w:hAnsi="Cambria"/>
          <w:sz w:val="24"/>
          <w:szCs w:val="24"/>
        </w:rPr>
        <w:t xml:space="preserve"> </w:t>
      </w:r>
      <m:oMath>
        <m:r>
          <w:rPr>
            <w:rFonts w:ascii="Cambria Math" w:hAnsi="Cambria Math"/>
            <w:sz w:val="24"/>
            <w:szCs w:val="24"/>
          </w:rPr>
          <m:t>→</m:t>
        </m:r>
      </m:oMath>
      <w:r w:rsidRPr="00B46F9B">
        <w:rPr>
          <w:rFonts w:ascii="Cambria" w:hAnsi="Cambria"/>
          <w:sz w:val="24"/>
          <w:szCs w:val="24"/>
        </w:rPr>
        <w:t xml:space="preserve"> </w:t>
      </w:r>
      <m:oMath>
        <m:r>
          <w:rPr>
            <w:rFonts w:ascii="Cambria Math" w:hAnsi="Cambria Math"/>
            <w:sz w:val="24"/>
            <w:szCs w:val="24"/>
          </w:rPr>
          <m:t>10-4+2=8</m:t>
        </m:r>
      </m:oMath>
      <w:r w:rsidRPr="00B46F9B">
        <w:rPr>
          <w:rFonts w:ascii="Cambria" w:hAnsi="Cambria"/>
          <w:sz w:val="24"/>
          <w:szCs w:val="24"/>
        </w:rPr>
        <w:t>.</w:t>
      </w:r>
    </w:p>
    <w:p w14:paraId="3465F0C6" w14:textId="77777777" w:rsidR="003903F5" w:rsidRPr="00B46F9B" w:rsidRDefault="003903F5" w:rsidP="00B46F9B">
      <w:pPr>
        <w:jc w:val="both"/>
        <w:rPr>
          <w:rFonts w:ascii="Cambria" w:hAnsi="Cambria"/>
          <w:sz w:val="24"/>
          <w:szCs w:val="24"/>
        </w:rPr>
      </w:pPr>
      <w:r w:rsidRPr="00B46F9B">
        <w:rPr>
          <w:rFonts w:ascii="Cambria" w:hAnsi="Cambria"/>
          <w:b/>
          <w:bCs/>
          <w:sz w:val="24"/>
          <w:szCs w:val="24"/>
        </w:rPr>
        <w:t>2.Expresii cu operații de ordine diferite (fără paranteze):</w:t>
      </w:r>
      <w:r w:rsidRPr="00B46F9B">
        <w:rPr>
          <w:rFonts w:ascii="Cambria" w:hAnsi="Cambria"/>
          <w:sz w:val="24"/>
          <w:szCs w:val="24"/>
        </w:rPr>
        <w:t>Regula priorității.</w:t>
      </w:r>
    </w:p>
    <w:p w14:paraId="45D2BD56" w14:textId="524548B6" w:rsidR="003903F5" w:rsidRPr="00B46F9B" w:rsidRDefault="003903F5" w:rsidP="00B46F9B">
      <w:pPr>
        <w:jc w:val="both"/>
        <w:rPr>
          <w:rFonts w:ascii="Cambria" w:hAnsi="Cambria"/>
          <w:sz w:val="24"/>
          <w:szCs w:val="24"/>
        </w:rPr>
      </w:pPr>
      <w:r w:rsidRPr="00B46F9B">
        <w:rPr>
          <w:rFonts w:ascii="Cambria" w:hAnsi="Cambria"/>
          <w:sz w:val="24"/>
          <w:szCs w:val="24"/>
        </w:rPr>
        <w:t xml:space="preserve">Aici apare prima ruptură de ritm. Învățătorul explică faptul că înmulțirea și împărțirea sunt „mai puternice” (operații de ordinul II) și se efectuează primele, indiferent de locul lor în exercițiu. Adunarea și scăderea (ordinul I) rămân la urmă. </w:t>
      </w:r>
      <w:r w:rsidRPr="00B46F9B">
        <w:rPr>
          <w:rFonts w:ascii="Cambria" w:hAnsi="Cambria"/>
          <w:i/>
          <w:iCs/>
          <w:sz w:val="24"/>
          <w:szCs w:val="24"/>
        </w:rPr>
        <w:t>Exemplu:</w:t>
      </w:r>
      <w:r w:rsidRPr="00B46F9B">
        <w:rPr>
          <w:rFonts w:ascii="Cambria" w:hAnsi="Cambria"/>
          <w:sz w:val="24"/>
          <w:szCs w:val="24"/>
        </w:rPr>
        <w:t xml:space="preserve"> În exercițiul </w:t>
      </w:r>
      <m:oMath>
        <m:r>
          <w:rPr>
            <w:rFonts w:ascii="Cambria Math" w:hAnsi="Cambria Math"/>
            <w:sz w:val="24"/>
            <w:szCs w:val="24"/>
          </w:rPr>
          <m:t>5+3×4</m:t>
        </m:r>
      </m:oMath>
      <w:r w:rsidRPr="00B46F9B">
        <w:rPr>
          <w:rFonts w:ascii="Cambria" w:hAnsi="Cambria"/>
          <w:sz w:val="24"/>
          <w:szCs w:val="24"/>
        </w:rPr>
        <w:t xml:space="preserve">, copilul este tentat să adune mai întâi 5 cu 3. Învățătorul îl pune să sublinieze prioritatea: </w:t>
      </w:r>
      <m:oMath>
        <m:r>
          <w:rPr>
            <w:rFonts w:ascii="Cambria Math" w:hAnsi="Cambria Math"/>
            <w:sz w:val="24"/>
            <w:szCs w:val="24"/>
          </w:rPr>
          <m:t>3×4</m:t>
        </m:r>
      </m:oMath>
      <w:r w:rsidRPr="00B46F9B">
        <w:rPr>
          <w:rFonts w:ascii="Cambria" w:hAnsi="Cambria"/>
          <w:sz w:val="24"/>
          <w:szCs w:val="24"/>
        </w:rPr>
        <w:t>.</w:t>
      </w:r>
    </w:p>
    <w:p w14:paraId="40B66B2D" w14:textId="77777777" w:rsidR="003903F5" w:rsidRPr="00B46F9B" w:rsidRDefault="003903F5" w:rsidP="00B46F9B">
      <w:pPr>
        <w:jc w:val="both"/>
        <w:rPr>
          <w:rFonts w:ascii="Cambria" w:hAnsi="Cambria"/>
          <w:sz w:val="24"/>
          <w:szCs w:val="24"/>
        </w:rPr>
      </w:pPr>
      <w:r w:rsidRPr="00B46F9B">
        <w:rPr>
          <w:rFonts w:ascii="Cambria" w:hAnsi="Cambria"/>
          <w:b/>
          <w:bCs/>
          <w:sz w:val="24"/>
          <w:szCs w:val="24"/>
        </w:rPr>
        <w:t>3.Introducerea parantezelor rotunde:</w:t>
      </w:r>
      <w:r w:rsidRPr="00B46F9B">
        <w:rPr>
          <w:rFonts w:ascii="Cambria" w:hAnsi="Cambria"/>
          <w:sz w:val="24"/>
          <w:szCs w:val="24"/>
        </w:rPr>
        <w:t>Paranteza ca „scut” sau „urgență”.</w:t>
      </w:r>
    </w:p>
    <w:p w14:paraId="313A7C82" w14:textId="1949ECD2" w:rsidR="003903F5" w:rsidRPr="00B46F9B" w:rsidRDefault="003903F5" w:rsidP="00B46F9B">
      <w:pPr>
        <w:jc w:val="both"/>
        <w:rPr>
          <w:rFonts w:ascii="Cambria" w:hAnsi="Cambria"/>
          <w:sz w:val="24"/>
          <w:szCs w:val="24"/>
        </w:rPr>
      </w:pPr>
      <w:r w:rsidRPr="00B46F9B">
        <w:rPr>
          <w:rFonts w:ascii="Cambria" w:hAnsi="Cambria"/>
          <w:sz w:val="24"/>
          <w:szCs w:val="24"/>
        </w:rPr>
        <w:t xml:space="preserve">Paranteza se predă ca o comandă specială care anulează regulile anterioare. Orice operație închisă în paranteză se execută prima. Se demonstrează forța parantezei rezolvând aceleași numere cu și fără paranteză: </w:t>
      </w:r>
      <m:oMath>
        <m:r>
          <w:rPr>
            <w:rFonts w:ascii="Cambria Math" w:hAnsi="Cambria Math"/>
            <w:sz w:val="24"/>
            <w:szCs w:val="24"/>
          </w:rPr>
          <m:t>10+5×2=20</m:t>
        </m:r>
      </m:oMath>
      <w:r w:rsidRPr="00B46F9B">
        <w:rPr>
          <w:rFonts w:ascii="Cambria" w:hAnsi="Cambria"/>
          <w:sz w:val="24"/>
          <w:szCs w:val="24"/>
        </w:rPr>
        <w:t xml:space="preserve">, dar </w:t>
      </w:r>
      <m:oMath>
        <m:d>
          <m:dPr>
            <m:ctrlPr>
              <w:rPr>
                <w:rFonts w:ascii="Cambria Math" w:hAnsi="Cambria Math"/>
                <w:sz w:val="24"/>
                <w:szCs w:val="24"/>
              </w:rPr>
            </m:ctrlPr>
          </m:dPr>
          <m:e>
            <m:r>
              <w:rPr>
                <w:rFonts w:ascii="Cambria Math" w:hAnsi="Cambria Math"/>
                <w:sz w:val="24"/>
                <w:szCs w:val="24"/>
              </w:rPr>
              <m:t>10+5</m:t>
            </m:r>
          </m:e>
        </m:d>
        <m:r>
          <w:rPr>
            <w:rFonts w:ascii="Cambria Math" w:hAnsi="Cambria Math"/>
            <w:sz w:val="24"/>
            <w:szCs w:val="24"/>
          </w:rPr>
          <m:t>×2=30</m:t>
        </m:r>
      </m:oMath>
      <w:r w:rsidRPr="00B46F9B">
        <w:rPr>
          <w:rFonts w:ascii="Cambria" w:hAnsi="Cambria"/>
          <w:sz w:val="24"/>
          <w:szCs w:val="24"/>
        </w:rPr>
        <w:t>. Elevii observă că paranteza schimbă complet rezultatul.</w:t>
      </w:r>
    </w:p>
    <w:p w14:paraId="2BC754EE" w14:textId="77777777" w:rsidR="003903F5" w:rsidRPr="00B46F9B" w:rsidRDefault="003903F5" w:rsidP="00B46F9B">
      <w:pPr>
        <w:jc w:val="both"/>
        <w:rPr>
          <w:rFonts w:ascii="Cambria" w:hAnsi="Cambria"/>
          <w:sz w:val="24"/>
          <w:szCs w:val="24"/>
        </w:rPr>
      </w:pPr>
      <w:r w:rsidRPr="00B46F9B">
        <w:rPr>
          <w:rFonts w:ascii="Cambria" w:hAnsi="Cambria"/>
          <w:b/>
          <w:bCs/>
          <w:sz w:val="24"/>
          <w:szCs w:val="24"/>
        </w:rPr>
        <w:t>4.Introducerea parantezelor pătrate:</w:t>
      </w:r>
      <w:r w:rsidRPr="00B46F9B">
        <w:rPr>
          <w:rFonts w:ascii="Cambria" w:hAnsi="Cambria"/>
          <w:sz w:val="24"/>
          <w:szCs w:val="24"/>
        </w:rPr>
        <w:t>Doar la clasa a IV-a.</w:t>
      </w:r>
    </w:p>
    <w:p w14:paraId="1911EFCD" w14:textId="77777777" w:rsidR="003903F5" w:rsidRPr="00B46F9B" w:rsidRDefault="003903F5" w:rsidP="00B46F9B">
      <w:pPr>
        <w:jc w:val="both"/>
        <w:rPr>
          <w:rFonts w:ascii="Cambria" w:hAnsi="Cambria"/>
          <w:sz w:val="24"/>
          <w:szCs w:val="24"/>
        </w:rPr>
      </w:pPr>
      <w:r w:rsidRPr="00B46F9B">
        <w:rPr>
          <w:rFonts w:ascii="Cambria" w:hAnsi="Cambria"/>
          <w:sz w:val="24"/>
          <w:szCs w:val="24"/>
        </w:rPr>
        <w:t>Apare ierarhia parantezelor. Se explică vizual: rezolvăm exercițiul dinspre interior spre exterior. După ce toate operațiile din paranteza rotundă au fost rezolvate (iar aceasta dispare), paranteza pătrată se transformă în paranteză rotundă.</w:t>
      </w:r>
    </w:p>
    <w:p w14:paraId="60294DEF" w14:textId="77777777" w:rsidR="003903F5" w:rsidRPr="00B46F9B" w:rsidRDefault="003903F5" w:rsidP="00B46F9B">
      <w:pPr>
        <w:jc w:val="both"/>
        <w:rPr>
          <w:rFonts w:ascii="Cambria" w:hAnsi="Cambria"/>
          <w:b/>
          <w:bCs/>
          <w:sz w:val="24"/>
          <w:szCs w:val="24"/>
        </w:rPr>
      </w:pPr>
      <w:r w:rsidRPr="00B46F9B">
        <w:rPr>
          <w:rFonts w:ascii="Cambria" w:hAnsi="Cambria"/>
          <w:b/>
          <w:bCs/>
          <w:sz w:val="24"/>
          <w:szCs w:val="24"/>
        </w:rPr>
        <w:t>Strategii didactice și vizuale pentru evitarea erorilor</w:t>
      </w:r>
    </w:p>
    <w:p w14:paraId="2B9FA816" w14:textId="77777777" w:rsidR="003903F5" w:rsidRPr="00B46F9B" w:rsidRDefault="003903F5" w:rsidP="00B46F9B">
      <w:pPr>
        <w:jc w:val="both"/>
        <w:rPr>
          <w:rFonts w:ascii="Cambria" w:hAnsi="Cambria"/>
          <w:sz w:val="24"/>
          <w:szCs w:val="24"/>
        </w:rPr>
      </w:pPr>
      <w:r w:rsidRPr="00B46F9B">
        <w:rPr>
          <w:rFonts w:ascii="Cambria" w:hAnsi="Cambria"/>
          <w:sz w:val="24"/>
          <w:szCs w:val="24"/>
        </w:rPr>
        <w:t xml:space="preserve">Pentru copiii de 9-10 ani, greșelile nu provin de obicei din necunoașterea tablei înmulțirii, ci din </w:t>
      </w:r>
      <w:r w:rsidRPr="00B46F9B">
        <w:rPr>
          <w:rFonts w:ascii="Cambria" w:hAnsi="Cambria"/>
          <w:b/>
          <w:bCs/>
          <w:sz w:val="24"/>
          <w:szCs w:val="24"/>
        </w:rPr>
        <w:t>pierderea șirului operațiilor</w:t>
      </w:r>
      <w:r w:rsidRPr="00B46F9B">
        <w:rPr>
          <w:rFonts w:ascii="Cambria" w:hAnsi="Cambria"/>
          <w:sz w:val="24"/>
          <w:szCs w:val="24"/>
        </w:rPr>
        <w:t xml:space="preserve"> sau din uitarea copierii numerelor necalculate. Învățătorul trebuie să impună reguli de redactare grafică riguroase:</w:t>
      </w:r>
    </w:p>
    <w:p w14:paraId="27001ACD" w14:textId="77777777" w:rsidR="003903F5" w:rsidRPr="00B46F9B" w:rsidRDefault="003903F5" w:rsidP="00B46F9B">
      <w:pPr>
        <w:jc w:val="both"/>
        <w:rPr>
          <w:rFonts w:ascii="Cambria" w:hAnsi="Cambria"/>
          <w:b/>
          <w:bCs/>
          <w:sz w:val="24"/>
          <w:szCs w:val="24"/>
        </w:rPr>
      </w:pPr>
      <w:r w:rsidRPr="00B46F9B">
        <w:rPr>
          <w:rFonts w:ascii="Cambria" w:hAnsi="Cambria"/>
          <w:b/>
          <w:bCs/>
          <w:sz w:val="24"/>
          <w:szCs w:val="24"/>
        </w:rPr>
        <w:t>1. Metoda sublinierii (Marcarea vizuală)</w:t>
      </w:r>
    </w:p>
    <w:p w14:paraId="4A10F6E6" w14:textId="77777777" w:rsidR="003903F5" w:rsidRPr="00B46F9B" w:rsidRDefault="003903F5" w:rsidP="00B46F9B">
      <w:pPr>
        <w:jc w:val="both"/>
        <w:rPr>
          <w:rFonts w:ascii="Cambria" w:hAnsi="Cambria"/>
          <w:sz w:val="24"/>
          <w:szCs w:val="24"/>
        </w:rPr>
      </w:pPr>
      <w:r w:rsidRPr="00B46F9B">
        <w:rPr>
          <w:rFonts w:ascii="Cambria" w:hAnsi="Cambria"/>
          <w:sz w:val="24"/>
          <w:szCs w:val="24"/>
        </w:rPr>
        <w:lastRenderedPageBreak/>
        <w:t>Înainte de a efectua orice calcul, elevul are sarcina de a lua un creion și de a sublinia operația care trebuie rezolvată prima.</w:t>
      </w:r>
    </w:p>
    <w:p w14:paraId="07DCB9E3" w14:textId="7C9F8D04" w:rsidR="003903F5" w:rsidRPr="00B46F9B" w:rsidRDefault="003903F5" w:rsidP="00B46F9B">
      <w:pPr>
        <w:jc w:val="both"/>
        <w:rPr>
          <w:rFonts w:ascii="Cambria" w:hAnsi="Cambria"/>
          <w:sz w:val="24"/>
          <w:szCs w:val="24"/>
        </w:rPr>
      </w:pPr>
      <w:r w:rsidRPr="00B46F9B">
        <w:rPr>
          <w:rFonts w:ascii="Cambria" w:hAnsi="Cambria"/>
          <w:sz w:val="24"/>
          <w:szCs w:val="24"/>
        </w:rPr>
        <w:t xml:space="preserve">Dacă exercițiul este </w:t>
      </w:r>
      <m:oMath>
        <m:r>
          <w:rPr>
            <w:rFonts w:ascii="Cambria Math" w:hAnsi="Cambria Math"/>
            <w:sz w:val="24"/>
            <w:szCs w:val="24"/>
          </w:rPr>
          <m:t>50-</m:t>
        </m:r>
        <m:bar>
          <m:barPr>
            <m:ctrlPr>
              <w:rPr>
                <w:rFonts w:ascii="Cambria Math" w:hAnsi="Cambria Math"/>
                <w:sz w:val="24"/>
                <w:szCs w:val="24"/>
              </w:rPr>
            </m:ctrlPr>
          </m:barPr>
          <m:e>
            <m:r>
              <w:rPr>
                <w:rFonts w:ascii="Cambria Math" w:hAnsi="Cambria Math"/>
                <w:sz w:val="24"/>
                <w:szCs w:val="24"/>
              </w:rPr>
              <m:t>8×4</m:t>
            </m:r>
          </m:e>
        </m:bar>
        <m:r>
          <w:rPr>
            <w:rFonts w:ascii="Cambria Math" w:hAnsi="Cambria Math"/>
            <w:sz w:val="24"/>
            <w:szCs w:val="24"/>
          </w:rPr>
          <m:t>+12</m:t>
        </m:r>
      </m:oMath>
      <w:r w:rsidRPr="00B46F9B">
        <w:rPr>
          <w:rFonts w:ascii="Cambria" w:hAnsi="Cambria"/>
          <w:sz w:val="24"/>
          <w:szCs w:val="24"/>
        </w:rPr>
        <w:t>, sublinierea produsului previne tentația de a face scăderea mai întâi.</w:t>
      </w:r>
    </w:p>
    <w:p w14:paraId="39D3F542" w14:textId="77777777" w:rsidR="003903F5" w:rsidRPr="00B46F9B" w:rsidRDefault="003903F5" w:rsidP="00B46F9B">
      <w:pPr>
        <w:jc w:val="both"/>
        <w:rPr>
          <w:rFonts w:ascii="Cambria" w:hAnsi="Cambria"/>
          <w:b/>
          <w:bCs/>
          <w:sz w:val="24"/>
          <w:szCs w:val="24"/>
        </w:rPr>
      </w:pPr>
      <w:r w:rsidRPr="00B46F9B">
        <w:rPr>
          <w:rFonts w:ascii="Cambria" w:hAnsi="Cambria"/>
          <w:b/>
          <w:bCs/>
          <w:sz w:val="24"/>
          <w:szCs w:val="24"/>
        </w:rPr>
        <w:t>2. Metoda „pâlniei” (Copierea în cascadă)</w:t>
      </w:r>
    </w:p>
    <w:p w14:paraId="1374BCDF" w14:textId="77777777" w:rsidR="003903F5" w:rsidRPr="00B46F9B" w:rsidRDefault="003903F5" w:rsidP="00B46F9B">
      <w:pPr>
        <w:jc w:val="both"/>
        <w:rPr>
          <w:rFonts w:ascii="Cambria" w:hAnsi="Cambria"/>
          <w:sz w:val="24"/>
          <w:szCs w:val="24"/>
        </w:rPr>
      </w:pPr>
      <w:r w:rsidRPr="00B46F9B">
        <w:rPr>
          <w:rFonts w:ascii="Cambria" w:hAnsi="Cambria"/>
          <w:sz w:val="24"/>
          <w:szCs w:val="24"/>
        </w:rPr>
        <w:t>Cea mai gravă eroare metodică este permiterea calculului „pe bucăți”, pe ciornă, urmat de asamblarea greșită a rezultatelor. Învățătorul impune rezolvarea pe verticală. Ce nu se calculează într-o etapă, se copiază exact la locul său.</w:t>
      </w:r>
    </w:p>
    <w:p w14:paraId="007E6CF7" w14:textId="77777777" w:rsidR="003903F5" w:rsidRPr="00B46F9B" w:rsidRDefault="003903F5" w:rsidP="00B46F9B">
      <w:pPr>
        <w:jc w:val="both"/>
        <w:rPr>
          <w:rFonts w:ascii="Cambria" w:hAnsi="Cambria"/>
          <w:sz w:val="24"/>
          <w:szCs w:val="24"/>
        </w:rPr>
      </w:pPr>
      <w:r w:rsidRPr="00B46F9B">
        <w:rPr>
          <w:rFonts w:ascii="Cambria" w:hAnsi="Cambria"/>
          <w:b/>
          <w:bCs/>
          <w:sz w:val="24"/>
          <w:szCs w:val="24"/>
        </w:rPr>
        <w:t>Exemplu de redactare corectă:</w:t>
      </w:r>
    </w:p>
    <w:p w14:paraId="0D26EAD1" w14:textId="77777777" w:rsidR="003903F5" w:rsidRPr="00B46F9B" w:rsidRDefault="003903F5" w:rsidP="00B46F9B">
      <w:pPr>
        <w:jc w:val="both"/>
        <w:rPr>
          <w:rFonts w:ascii="Cambria" w:hAnsi="Cambria"/>
          <w:sz w:val="24"/>
          <w:szCs w:val="24"/>
        </w:rPr>
      </w:pPr>
      <w:r w:rsidRPr="00B46F9B">
        <w:rPr>
          <w:rFonts w:ascii="Cambria" w:hAnsi="Cambria"/>
          <w:sz w:val="24"/>
          <w:szCs w:val="24"/>
        </w:rPr>
        <w:t>$100 - \underline{4 \times 5} + 2 = $</w:t>
      </w:r>
    </w:p>
    <w:p w14:paraId="290B186A" w14:textId="77777777" w:rsidR="003903F5" w:rsidRPr="00B46F9B" w:rsidRDefault="003903F5" w:rsidP="00B46F9B">
      <w:pPr>
        <w:jc w:val="both"/>
        <w:rPr>
          <w:rFonts w:ascii="Cambria" w:hAnsi="Cambria"/>
          <w:sz w:val="24"/>
          <w:szCs w:val="24"/>
        </w:rPr>
      </w:pPr>
      <w:r w:rsidRPr="00B46F9B">
        <w:rPr>
          <w:rFonts w:ascii="Cambria" w:hAnsi="Cambria"/>
          <w:sz w:val="24"/>
          <w:szCs w:val="24"/>
        </w:rPr>
        <w:t>$\underline{100 - 20} + 2 = $</w:t>
      </w:r>
    </w:p>
    <w:p w14:paraId="29B45A3C" w14:textId="480F0CAD" w:rsidR="003903F5" w:rsidRPr="00B46F9B" w:rsidRDefault="003903F5" w:rsidP="00B46F9B">
      <w:pPr>
        <w:jc w:val="both"/>
        <w:rPr>
          <w:rFonts w:ascii="Cambria" w:hAnsi="Cambria"/>
          <w:sz w:val="24"/>
          <w:szCs w:val="24"/>
        </w:rPr>
      </w:pPr>
      <m:oMathPara>
        <m:oMath>
          <m:r>
            <w:rPr>
              <w:rFonts w:ascii="Cambria Math" w:hAnsi="Cambria Math"/>
              <w:sz w:val="24"/>
              <w:szCs w:val="24"/>
            </w:rPr>
            <m:t>80+2=82</m:t>
          </m:r>
        </m:oMath>
      </m:oMathPara>
    </w:p>
    <w:p w14:paraId="06F68914" w14:textId="77777777" w:rsidR="003903F5" w:rsidRPr="00B46F9B" w:rsidRDefault="003903F5" w:rsidP="00B46F9B">
      <w:pPr>
        <w:jc w:val="both"/>
        <w:rPr>
          <w:rFonts w:ascii="Cambria" w:hAnsi="Cambria"/>
          <w:sz w:val="24"/>
          <w:szCs w:val="24"/>
        </w:rPr>
      </w:pPr>
      <w:r w:rsidRPr="00B46F9B">
        <w:rPr>
          <w:rFonts w:ascii="Cambria" w:hAnsi="Cambria"/>
          <w:sz w:val="24"/>
          <w:szCs w:val="24"/>
        </w:rPr>
        <w:t>Se observă cum exercițiul se îngustează treptat (ca un triunghi cu vârful în jos sau o pâlnie), până ajunge la un singur număr.</w:t>
      </w:r>
    </w:p>
    <w:p w14:paraId="3AF574DB" w14:textId="77777777" w:rsidR="003903F5" w:rsidRPr="00B46F9B" w:rsidRDefault="003903F5" w:rsidP="00B46F9B">
      <w:pPr>
        <w:jc w:val="both"/>
        <w:rPr>
          <w:rFonts w:ascii="Cambria" w:hAnsi="Cambria"/>
          <w:b/>
          <w:bCs/>
          <w:sz w:val="24"/>
          <w:szCs w:val="24"/>
        </w:rPr>
      </w:pPr>
      <w:r w:rsidRPr="00B46F9B">
        <w:rPr>
          <w:rFonts w:ascii="Cambria" w:hAnsi="Cambria"/>
          <w:b/>
          <w:bCs/>
          <w:sz w:val="24"/>
          <w:szCs w:val="24"/>
        </w:rPr>
        <w:t>3. Evitarea capcanei „numerelor prietenoase”</w:t>
      </w:r>
    </w:p>
    <w:p w14:paraId="7590DAAC" w14:textId="77777777" w:rsidR="003903F5" w:rsidRPr="00B46F9B" w:rsidRDefault="003903F5" w:rsidP="00B46F9B">
      <w:pPr>
        <w:jc w:val="both"/>
        <w:rPr>
          <w:rFonts w:ascii="Cambria" w:hAnsi="Cambria"/>
          <w:sz w:val="24"/>
          <w:szCs w:val="24"/>
        </w:rPr>
      </w:pPr>
      <w:r w:rsidRPr="00B46F9B">
        <w:rPr>
          <w:rFonts w:ascii="Cambria" w:hAnsi="Cambria"/>
          <w:sz w:val="24"/>
          <w:szCs w:val="24"/>
        </w:rPr>
        <w:t>Elevii au tendința de a aduna numerele care formează zeci rotunde, chiar dacă încalcă regulile.</w:t>
      </w:r>
    </w:p>
    <w:p w14:paraId="402647D1" w14:textId="06A2FF1D" w:rsidR="00E51F71" w:rsidRPr="00B46F9B" w:rsidRDefault="003903F5" w:rsidP="00B46F9B">
      <w:pPr>
        <w:jc w:val="both"/>
        <w:rPr>
          <w:rFonts w:ascii="Cambria" w:hAnsi="Cambria"/>
          <w:sz w:val="24"/>
          <w:szCs w:val="24"/>
        </w:rPr>
      </w:pPr>
      <w:r w:rsidRPr="00B46F9B">
        <w:rPr>
          <w:rFonts w:ascii="Cambria" w:hAnsi="Cambria"/>
          <w:sz w:val="24"/>
          <w:szCs w:val="24"/>
        </w:rPr>
        <w:t xml:space="preserve">În exercițiul </w:t>
      </w:r>
      <m:oMath>
        <m:r>
          <w:rPr>
            <w:rFonts w:ascii="Cambria Math" w:hAnsi="Cambria Math"/>
            <w:sz w:val="24"/>
            <w:szCs w:val="24"/>
          </w:rPr>
          <m:t>18-8:2</m:t>
        </m:r>
      </m:oMath>
      <w:r w:rsidRPr="00B46F9B">
        <w:rPr>
          <w:rFonts w:ascii="Cambria" w:hAnsi="Cambria"/>
          <w:sz w:val="24"/>
          <w:szCs w:val="24"/>
        </w:rPr>
        <w:t xml:space="preserve">, un elev neatent va fi foarte tentat să calculeze </w:t>
      </w:r>
      <m:oMath>
        <m:r>
          <w:rPr>
            <w:rFonts w:ascii="Cambria Math" w:hAnsi="Cambria Math"/>
            <w:sz w:val="24"/>
            <w:szCs w:val="24"/>
          </w:rPr>
          <m:t>18-8=10</m:t>
        </m:r>
      </m:oMath>
      <w:r w:rsidRPr="00B46F9B">
        <w:rPr>
          <w:rFonts w:ascii="Cambria" w:hAnsi="Cambria"/>
          <w:sz w:val="24"/>
          <w:szCs w:val="24"/>
        </w:rPr>
        <w:t>, pentru că numerele se potrivesc vizual perfect. Soluția didactică este citirea cu voce tare a întregului exercițiu înainte de a pune pixul pe foaie și aplicarea metodei sublinierii prioritar pe împărțire.</w:t>
      </w:r>
    </w:p>
    <w:sectPr w:rsidR="00E51F71" w:rsidRPr="00B46F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244"/>
    <w:rsid w:val="001928FC"/>
    <w:rsid w:val="00222121"/>
    <w:rsid w:val="003903F5"/>
    <w:rsid w:val="00913256"/>
    <w:rsid w:val="009D2244"/>
    <w:rsid w:val="00B46F9B"/>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CB46F"/>
  <w15:chartTrackingRefBased/>
  <w15:docId w15:val="{175DD4CA-4745-4C3B-BA09-2F405DF93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22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22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22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22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22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22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2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2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2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2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22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22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22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22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22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2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2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244"/>
    <w:rPr>
      <w:rFonts w:eastAsiaTheme="majorEastAsia" w:cstheme="majorBidi"/>
      <w:color w:val="272727" w:themeColor="text1" w:themeTint="D8"/>
    </w:rPr>
  </w:style>
  <w:style w:type="paragraph" w:styleId="Title">
    <w:name w:val="Title"/>
    <w:basedOn w:val="Normal"/>
    <w:next w:val="Normal"/>
    <w:link w:val="TitleChar"/>
    <w:uiPriority w:val="10"/>
    <w:qFormat/>
    <w:rsid w:val="009D22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2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2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2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244"/>
    <w:pPr>
      <w:spacing w:before="160"/>
      <w:jc w:val="center"/>
    </w:pPr>
    <w:rPr>
      <w:i/>
      <w:iCs/>
      <w:color w:val="404040" w:themeColor="text1" w:themeTint="BF"/>
    </w:rPr>
  </w:style>
  <w:style w:type="character" w:customStyle="1" w:styleId="QuoteChar">
    <w:name w:val="Quote Char"/>
    <w:basedOn w:val="DefaultParagraphFont"/>
    <w:link w:val="Quote"/>
    <w:uiPriority w:val="29"/>
    <w:rsid w:val="009D2244"/>
    <w:rPr>
      <w:i/>
      <w:iCs/>
      <w:color w:val="404040" w:themeColor="text1" w:themeTint="BF"/>
    </w:rPr>
  </w:style>
  <w:style w:type="paragraph" w:styleId="ListParagraph">
    <w:name w:val="List Paragraph"/>
    <w:basedOn w:val="Normal"/>
    <w:uiPriority w:val="34"/>
    <w:qFormat/>
    <w:rsid w:val="009D2244"/>
    <w:pPr>
      <w:ind w:left="720"/>
      <w:contextualSpacing/>
    </w:pPr>
  </w:style>
  <w:style w:type="character" w:styleId="IntenseEmphasis">
    <w:name w:val="Intense Emphasis"/>
    <w:basedOn w:val="DefaultParagraphFont"/>
    <w:uiPriority w:val="21"/>
    <w:qFormat/>
    <w:rsid w:val="009D2244"/>
    <w:rPr>
      <w:i/>
      <w:iCs/>
      <w:color w:val="2F5496" w:themeColor="accent1" w:themeShade="BF"/>
    </w:rPr>
  </w:style>
  <w:style w:type="paragraph" w:styleId="IntenseQuote">
    <w:name w:val="Intense Quote"/>
    <w:basedOn w:val="Normal"/>
    <w:next w:val="Normal"/>
    <w:link w:val="IntenseQuoteChar"/>
    <w:uiPriority w:val="30"/>
    <w:qFormat/>
    <w:rsid w:val="009D22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2244"/>
    <w:rPr>
      <w:i/>
      <w:iCs/>
      <w:color w:val="2F5496" w:themeColor="accent1" w:themeShade="BF"/>
    </w:rPr>
  </w:style>
  <w:style w:type="character" w:styleId="IntenseReference">
    <w:name w:val="Intense Reference"/>
    <w:basedOn w:val="DefaultParagraphFont"/>
    <w:uiPriority w:val="32"/>
    <w:qFormat/>
    <w:rsid w:val="009D22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572</Words>
  <Characters>3267</Characters>
  <Application>Microsoft Office Word</Application>
  <DocSecurity>0</DocSecurity>
  <Lines>27</Lines>
  <Paragraphs>7</Paragraphs>
  <ScaleCrop>false</ScaleCrop>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2026-07-04T16:14:00Z</dcterms:created>
  <dcterms:modified xsi:type="dcterms:W3CDTF">2026-07-04T18:34:00Z</dcterms:modified>
</cp:coreProperties>
</file>