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B00A" w14:textId="64D2049A" w:rsidR="00521FC2" w:rsidRDefault="00521FC2" w:rsidP="00521FC2">
      <w:pPr>
        <w:jc w:val="both"/>
        <w:rPr>
          <w:rFonts w:ascii="Cambria" w:hAnsi="Cambria"/>
          <w:b/>
          <w:bCs/>
          <w:sz w:val="24"/>
          <w:szCs w:val="24"/>
          <w:lang w:val="ro-RO"/>
        </w:rPr>
      </w:pPr>
      <w:r w:rsidRPr="00521FC2">
        <w:rPr>
          <w:rFonts w:ascii="Cambria" w:hAnsi="Cambria"/>
          <w:b/>
          <w:bCs/>
          <w:sz w:val="24"/>
          <w:szCs w:val="24"/>
          <w:lang w:val="ro-RO"/>
        </w:rPr>
        <w:t xml:space="preserve">      </w:t>
      </w:r>
      <w:r>
        <w:rPr>
          <w:rFonts w:ascii="Cambria" w:hAnsi="Cambria"/>
          <w:b/>
          <w:bCs/>
          <w:sz w:val="24"/>
          <w:szCs w:val="24"/>
          <w:lang w:val="ro-RO"/>
        </w:rPr>
        <w:t xml:space="preserve">                                  </w:t>
      </w:r>
      <w:r w:rsidR="000A66C0" w:rsidRPr="00521FC2">
        <w:rPr>
          <w:rFonts w:ascii="Cambria" w:hAnsi="Cambria"/>
          <w:b/>
          <w:bCs/>
          <w:sz w:val="24"/>
          <w:szCs w:val="24"/>
        </w:rPr>
        <w:t xml:space="preserve">Integrarea </w:t>
      </w:r>
      <w:r>
        <w:rPr>
          <w:rFonts w:ascii="Cambria" w:hAnsi="Cambria"/>
          <w:b/>
          <w:bCs/>
          <w:sz w:val="24"/>
          <w:szCs w:val="24"/>
          <w:lang w:val="ro-RO"/>
        </w:rPr>
        <w:t>m</w:t>
      </w:r>
      <w:r w:rsidR="000A66C0" w:rsidRPr="00521FC2">
        <w:rPr>
          <w:rFonts w:ascii="Cambria" w:hAnsi="Cambria"/>
          <w:b/>
          <w:bCs/>
          <w:sz w:val="24"/>
          <w:szCs w:val="24"/>
        </w:rPr>
        <w:t xml:space="preserve">ijloacelor de </w:t>
      </w:r>
      <w:r>
        <w:rPr>
          <w:rFonts w:ascii="Cambria" w:hAnsi="Cambria"/>
          <w:b/>
          <w:bCs/>
          <w:sz w:val="24"/>
          <w:szCs w:val="24"/>
          <w:lang w:val="ro-RO"/>
        </w:rPr>
        <w:t>î</w:t>
      </w:r>
      <w:r w:rsidR="000A66C0" w:rsidRPr="00521FC2">
        <w:rPr>
          <w:rFonts w:ascii="Cambria" w:hAnsi="Cambria"/>
          <w:b/>
          <w:bCs/>
          <w:sz w:val="24"/>
          <w:szCs w:val="24"/>
        </w:rPr>
        <w:t xml:space="preserve">nvățământ </w:t>
      </w:r>
    </w:p>
    <w:p w14:paraId="3A298D12" w14:textId="0B1A9F53" w:rsidR="000A66C0" w:rsidRPr="00521FC2" w:rsidRDefault="00521FC2" w:rsidP="00521FC2">
      <w:pPr>
        <w:jc w:val="both"/>
        <w:rPr>
          <w:rFonts w:ascii="Cambria" w:hAnsi="Cambria"/>
          <w:b/>
          <w:bCs/>
          <w:sz w:val="24"/>
          <w:szCs w:val="24"/>
        </w:rPr>
      </w:pPr>
      <w:r>
        <w:rPr>
          <w:rFonts w:ascii="Cambria" w:hAnsi="Cambria"/>
          <w:b/>
          <w:bCs/>
          <w:sz w:val="24"/>
          <w:szCs w:val="24"/>
          <w:lang w:val="ro-RO"/>
        </w:rPr>
        <w:t xml:space="preserve">                          </w:t>
      </w:r>
      <w:r w:rsidR="000A66C0" w:rsidRPr="00521FC2">
        <w:rPr>
          <w:rFonts w:ascii="Cambria" w:hAnsi="Cambria"/>
          <w:b/>
          <w:bCs/>
          <w:sz w:val="24"/>
          <w:szCs w:val="24"/>
        </w:rPr>
        <w:t xml:space="preserve">în </w:t>
      </w:r>
      <w:r>
        <w:rPr>
          <w:rFonts w:ascii="Cambria" w:hAnsi="Cambria"/>
          <w:b/>
          <w:bCs/>
          <w:sz w:val="24"/>
          <w:szCs w:val="24"/>
          <w:lang w:val="ro-RO"/>
        </w:rPr>
        <w:t>a</w:t>
      </w:r>
      <w:r w:rsidR="000A66C0" w:rsidRPr="00521FC2">
        <w:rPr>
          <w:rFonts w:ascii="Cambria" w:hAnsi="Cambria"/>
          <w:b/>
          <w:bCs/>
          <w:sz w:val="24"/>
          <w:szCs w:val="24"/>
        </w:rPr>
        <w:t xml:space="preserve">ctivitatea </w:t>
      </w:r>
      <w:r>
        <w:rPr>
          <w:rFonts w:ascii="Cambria" w:hAnsi="Cambria"/>
          <w:b/>
          <w:bCs/>
          <w:sz w:val="24"/>
          <w:szCs w:val="24"/>
          <w:lang w:val="ro-RO"/>
        </w:rPr>
        <w:t>d</w:t>
      </w:r>
      <w:r w:rsidR="000A66C0" w:rsidRPr="00521FC2">
        <w:rPr>
          <w:rFonts w:ascii="Cambria" w:hAnsi="Cambria"/>
          <w:b/>
          <w:bCs/>
          <w:sz w:val="24"/>
          <w:szCs w:val="24"/>
        </w:rPr>
        <w:t xml:space="preserve">idactică din </w:t>
      </w:r>
      <w:r>
        <w:rPr>
          <w:rFonts w:ascii="Cambria" w:hAnsi="Cambria"/>
          <w:b/>
          <w:bCs/>
          <w:sz w:val="24"/>
          <w:szCs w:val="24"/>
          <w:lang w:val="ro-RO"/>
        </w:rPr>
        <w:t>î</w:t>
      </w:r>
      <w:r w:rsidR="000A66C0" w:rsidRPr="00521FC2">
        <w:rPr>
          <w:rFonts w:ascii="Cambria" w:hAnsi="Cambria"/>
          <w:b/>
          <w:bCs/>
          <w:sz w:val="24"/>
          <w:szCs w:val="24"/>
        </w:rPr>
        <w:t xml:space="preserve">nvățământul </w:t>
      </w:r>
      <w:r>
        <w:rPr>
          <w:rFonts w:ascii="Cambria" w:hAnsi="Cambria"/>
          <w:b/>
          <w:bCs/>
          <w:sz w:val="24"/>
          <w:szCs w:val="24"/>
          <w:lang w:val="ro-RO"/>
        </w:rPr>
        <w:t>p</w:t>
      </w:r>
      <w:r w:rsidR="000A66C0" w:rsidRPr="00521FC2">
        <w:rPr>
          <w:rFonts w:ascii="Cambria" w:hAnsi="Cambria"/>
          <w:b/>
          <w:bCs/>
          <w:sz w:val="24"/>
          <w:szCs w:val="24"/>
        </w:rPr>
        <w:t>rimar</w:t>
      </w:r>
    </w:p>
    <w:p w14:paraId="6715C8E6" w14:textId="0D647BEC" w:rsidR="000A66C0" w:rsidRPr="00521FC2" w:rsidRDefault="00521FC2" w:rsidP="00521FC2">
      <w:pPr>
        <w:jc w:val="both"/>
        <w:rPr>
          <w:rFonts w:ascii="Cambria" w:hAnsi="Cambria"/>
          <w:sz w:val="24"/>
          <w:szCs w:val="24"/>
        </w:rPr>
      </w:pPr>
      <w:r>
        <w:rPr>
          <w:rFonts w:ascii="Cambria" w:hAnsi="Cambria"/>
          <w:sz w:val="24"/>
          <w:szCs w:val="24"/>
          <w:lang w:val="ro-RO"/>
        </w:rPr>
        <w:t xml:space="preserve">        </w:t>
      </w:r>
      <w:r w:rsidR="000A66C0" w:rsidRPr="00521FC2">
        <w:rPr>
          <w:rFonts w:ascii="Cambria" w:hAnsi="Cambria"/>
          <w:sz w:val="24"/>
          <w:szCs w:val="24"/>
        </w:rPr>
        <w:t>Integrarea mijloacelor de învățământ în demersul pedagogic actual nu reprezintă doar o simplă modernizare a dotărilor școlare, ci o schimbare fundamentală de paradigmă în modul în care cunoașterea este transferată și interiorizată de către elevi. În învățământul primar, unde gândirea concret-intuitivă domină universul cognitiv al copilului, aceste resurse devin indispensabile pentru ancorarea învățării în realitatea imediată și pentru stimularea creativității.</w:t>
      </w:r>
    </w:p>
    <w:p w14:paraId="49C905D5" w14:textId="77777777" w:rsidR="000A66C0" w:rsidRPr="00521FC2" w:rsidRDefault="000A66C0" w:rsidP="00521FC2">
      <w:pPr>
        <w:jc w:val="both"/>
        <w:rPr>
          <w:rFonts w:ascii="Cambria" w:hAnsi="Cambria"/>
          <w:b/>
          <w:bCs/>
          <w:color w:val="C00000"/>
          <w:sz w:val="24"/>
          <w:szCs w:val="24"/>
        </w:rPr>
      </w:pPr>
      <w:r w:rsidRPr="00521FC2">
        <w:rPr>
          <w:rFonts w:ascii="Cambria" w:hAnsi="Cambria"/>
          <w:b/>
          <w:bCs/>
          <w:color w:val="C00000"/>
          <w:sz w:val="24"/>
          <w:szCs w:val="24"/>
        </w:rPr>
        <w:t>Definirea conceptului de mijloc de învățământ</w:t>
      </w:r>
    </w:p>
    <w:p w14:paraId="3FF193E5" w14:textId="77777777" w:rsidR="000A66C0" w:rsidRPr="00521FC2" w:rsidRDefault="000A66C0" w:rsidP="00521FC2">
      <w:pPr>
        <w:jc w:val="both"/>
        <w:rPr>
          <w:rFonts w:ascii="Cambria" w:hAnsi="Cambria"/>
          <w:sz w:val="24"/>
          <w:szCs w:val="24"/>
        </w:rPr>
      </w:pPr>
      <w:r w:rsidRPr="00521FC2">
        <w:rPr>
          <w:rFonts w:ascii="Cambria" w:hAnsi="Cambria"/>
          <w:sz w:val="24"/>
          <w:szCs w:val="24"/>
        </w:rPr>
        <w:t>În sens pedagogic, mijloacele de învățământ reprezintă totalitatea resurselor materiale, tehnice și informaționale, create sau adaptate special pentru a facilita transmiterea și asimilarea cunoștințelor, formarea competențelor și optimizarea interacțiunii dintre cadrul didactic și elevi. Acestea nu sunt simple accesorii, ci instrumente didactice care susțin procesul de predare-învățare-evaluare, având rolul de a clarifica conceptele abstracte, de a economisi timp și de a oferi o bază senzorială bogată pentru formarea reprezentărilor mentale.</w:t>
      </w:r>
    </w:p>
    <w:p w14:paraId="31C39807" w14:textId="77777777" w:rsidR="000A66C0" w:rsidRPr="00521FC2" w:rsidRDefault="000A66C0" w:rsidP="00521FC2">
      <w:pPr>
        <w:jc w:val="both"/>
        <w:rPr>
          <w:rFonts w:ascii="Cambria" w:hAnsi="Cambria"/>
          <w:b/>
          <w:bCs/>
          <w:color w:val="C00000"/>
          <w:sz w:val="24"/>
          <w:szCs w:val="24"/>
        </w:rPr>
      </w:pPr>
      <w:r w:rsidRPr="00521FC2">
        <w:rPr>
          <w:rFonts w:ascii="Cambria" w:hAnsi="Cambria"/>
          <w:b/>
          <w:bCs/>
          <w:color w:val="C00000"/>
          <w:sz w:val="24"/>
          <w:szCs w:val="24"/>
        </w:rPr>
        <w:t>Clasificarea mijloacelor de învățământ</w:t>
      </w:r>
    </w:p>
    <w:p w14:paraId="37AC043C" w14:textId="77777777" w:rsidR="000A66C0" w:rsidRPr="00521FC2" w:rsidRDefault="000A66C0" w:rsidP="00521FC2">
      <w:pPr>
        <w:jc w:val="both"/>
        <w:rPr>
          <w:rFonts w:ascii="Cambria" w:hAnsi="Cambria"/>
          <w:sz w:val="24"/>
          <w:szCs w:val="24"/>
        </w:rPr>
      </w:pPr>
      <w:r w:rsidRPr="00521FC2">
        <w:rPr>
          <w:rFonts w:ascii="Cambria" w:hAnsi="Cambria"/>
          <w:sz w:val="24"/>
          <w:szCs w:val="24"/>
        </w:rPr>
        <w:t xml:space="preserve">Diversitatea mijloacelor de învățământ poate fi analizată prin diverse criterii. Un criteriu esențial de clasificare este </w:t>
      </w:r>
      <w:r w:rsidRPr="00521FC2">
        <w:rPr>
          <w:rFonts w:ascii="Cambria" w:hAnsi="Cambria"/>
          <w:b/>
          <w:bCs/>
          <w:sz w:val="24"/>
          <w:szCs w:val="24"/>
        </w:rPr>
        <w:t>natura resurselor și funcția pedagogică principală</w:t>
      </w:r>
      <w:r w:rsidRPr="00521FC2">
        <w:rPr>
          <w:rFonts w:ascii="Cambria" w:hAnsi="Cambria"/>
          <w:sz w:val="24"/>
          <w:szCs w:val="24"/>
        </w:rPr>
        <w:t>:</w:t>
      </w:r>
    </w:p>
    <w:p w14:paraId="5D2B3468" w14:textId="77777777" w:rsidR="000A66C0" w:rsidRPr="00521FC2" w:rsidRDefault="000A66C0" w:rsidP="00521FC2">
      <w:pPr>
        <w:numPr>
          <w:ilvl w:val="0"/>
          <w:numId w:val="1"/>
        </w:numPr>
        <w:jc w:val="both"/>
        <w:rPr>
          <w:rFonts w:ascii="Cambria" w:hAnsi="Cambria"/>
          <w:sz w:val="24"/>
          <w:szCs w:val="24"/>
        </w:rPr>
      </w:pPr>
      <w:r w:rsidRPr="00521FC2">
        <w:rPr>
          <w:rFonts w:ascii="Cambria" w:hAnsi="Cambria"/>
          <w:b/>
          <w:bCs/>
          <w:sz w:val="24"/>
          <w:szCs w:val="24"/>
        </w:rPr>
        <w:t>Mijloace intuitiv-demonstrative (reale sau naturale):</w:t>
      </w:r>
      <w:r w:rsidRPr="00521FC2">
        <w:rPr>
          <w:rFonts w:ascii="Cambria" w:hAnsi="Cambria"/>
          <w:sz w:val="24"/>
          <w:szCs w:val="24"/>
        </w:rPr>
        <w:t xml:space="preserve"> Obiecte din mediul înconjurător (plante, roci, insectare) sau materiale didactice care redau realitatea (mulaje, planșe, machete). Acestea sunt fundamentale în clasa pregătitoare sau clasa I pentru dezvoltarea observației.</w:t>
      </w:r>
    </w:p>
    <w:p w14:paraId="5D8665FA" w14:textId="77777777" w:rsidR="000A66C0" w:rsidRPr="00521FC2" w:rsidRDefault="000A66C0" w:rsidP="00521FC2">
      <w:pPr>
        <w:numPr>
          <w:ilvl w:val="0"/>
          <w:numId w:val="1"/>
        </w:numPr>
        <w:jc w:val="both"/>
        <w:rPr>
          <w:rFonts w:ascii="Cambria" w:hAnsi="Cambria"/>
          <w:sz w:val="24"/>
          <w:szCs w:val="24"/>
        </w:rPr>
      </w:pPr>
      <w:r w:rsidRPr="00521FC2">
        <w:rPr>
          <w:rFonts w:ascii="Cambria" w:hAnsi="Cambria"/>
          <w:b/>
          <w:bCs/>
          <w:sz w:val="24"/>
          <w:szCs w:val="24"/>
        </w:rPr>
        <w:t>Mijloace audio-vizuale și tehnice:</w:t>
      </w:r>
      <w:r w:rsidRPr="00521FC2">
        <w:rPr>
          <w:rFonts w:ascii="Cambria" w:hAnsi="Cambria"/>
          <w:sz w:val="24"/>
          <w:szCs w:val="24"/>
        </w:rPr>
        <w:t xml:space="preserve"> Videoproiectorul, tablele interactive, softurile educaționale sau filmele documentare. Acestea aduc dinamism lecției, permițând vizualizarea unor procese care altfel ar rămâne inaccesibile (de exemplu, circuitul apei în natură sau viața animalelor exotice).</w:t>
      </w:r>
    </w:p>
    <w:p w14:paraId="08030CC1" w14:textId="77777777" w:rsidR="000A66C0" w:rsidRPr="00521FC2" w:rsidRDefault="000A66C0" w:rsidP="00521FC2">
      <w:pPr>
        <w:numPr>
          <w:ilvl w:val="0"/>
          <w:numId w:val="1"/>
        </w:numPr>
        <w:jc w:val="both"/>
        <w:rPr>
          <w:rFonts w:ascii="Cambria" w:hAnsi="Cambria"/>
          <w:sz w:val="24"/>
          <w:szCs w:val="24"/>
        </w:rPr>
      </w:pPr>
      <w:r w:rsidRPr="00521FC2">
        <w:rPr>
          <w:rFonts w:ascii="Cambria" w:hAnsi="Cambria"/>
          <w:b/>
          <w:bCs/>
          <w:sz w:val="24"/>
          <w:szCs w:val="24"/>
        </w:rPr>
        <w:t>Mijloace de fixare și exersare:</w:t>
      </w:r>
      <w:r w:rsidRPr="00521FC2">
        <w:rPr>
          <w:rFonts w:ascii="Cambria" w:hAnsi="Cambria"/>
          <w:sz w:val="24"/>
          <w:szCs w:val="24"/>
        </w:rPr>
        <w:t xml:space="preserve"> Caietele de exerciții, fișele de lucru, seturile de jetoane pentru calcul sau seturile de cuburi logice. Acestea au un rol activ, punând elevul în situația de a opera direct cu materialul pentru a consolida cunoștințele.</w:t>
      </w:r>
    </w:p>
    <w:p w14:paraId="6AE872E6" w14:textId="77777777" w:rsidR="00521FC2" w:rsidRDefault="00521FC2" w:rsidP="00521FC2">
      <w:pPr>
        <w:jc w:val="both"/>
        <w:rPr>
          <w:rFonts w:ascii="Cambria" w:hAnsi="Cambria"/>
          <w:b/>
          <w:bCs/>
          <w:color w:val="C00000"/>
          <w:sz w:val="24"/>
          <w:szCs w:val="24"/>
          <w:lang w:val="ro-RO"/>
        </w:rPr>
      </w:pPr>
    </w:p>
    <w:p w14:paraId="780CEEEC" w14:textId="728CD8FD" w:rsidR="000A66C0" w:rsidRPr="00521FC2" w:rsidRDefault="00521FC2" w:rsidP="00521FC2">
      <w:pPr>
        <w:jc w:val="both"/>
        <w:rPr>
          <w:rFonts w:ascii="Cambria" w:hAnsi="Cambria"/>
          <w:b/>
          <w:bCs/>
          <w:color w:val="C00000"/>
          <w:sz w:val="24"/>
          <w:szCs w:val="24"/>
        </w:rPr>
      </w:pPr>
      <w:r>
        <w:rPr>
          <w:rFonts w:ascii="Cambria" w:hAnsi="Cambria"/>
          <w:b/>
          <w:bCs/>
          <w:color w:val="C00000"/>
          <w:sz w:val="24"/>
          <w:szCs w:val="24"/>
          <w:lang w:val="ro-RO"/>
        </w:rPr>
        <w:t xml:space="preserve"> </w:t>
      </w:r>
      <w:r w:rsidR="000A66C0" w:rsidRPr="00521FC2">
        <w:rPr>
          <w:rFonts w:ascii="Cambria" w:hAnsi="Cambria"/>
          <w:b/>
          <w:bCs/>
          <w:color w:val="C00000"/>
          <w:sz w:val="24"/>
          <w:szCs w:val="24"/>
        </w:rPr>
        <w:t>Corelarea mijloacelor cu strategiile didactice</w:t>
      </w:r>
    </w:p>
    <w:p w14:paraId="2336D763" w14:textId="40518316" w:rsidR="000A66C0" w:rsidRPr="00521FC2" w:rsidRDefault="00521FC2" w:rsidP="00521FC2">
      <w:pPr>
        <w:jc w:val="both"/>
        <w:rPr>
          <w:rFonts w:ascii="Cambria" w:hAnsi="Cambria"/>
          <w:sz w:val="24"/>
          <w:szCs w:val="24"/>
        </w:rPr>
      </w:pPr>
      <w:r>
        <w:rPr>
          <w:rFonts w:ascii="Cambria" w:hAnsi="Cambria"/>
          <w:sz w:val="24"/>
          <w:szCs w:val="24"/>
          <w:lang w:val="ro-RO"/>
        </w:rPr>
        <w:t xml:space="preserve">        </w:t>
      </w:r>
      <w:r w:rsidR="000A66C0" w:rsidRPr="00521FC2">
        <w:rPr>
          <w:rFonts w:ascii="Cambria" w:hAnsi="Cambria"/>
          <w:sz w:val="24"/>
          <w:szCs w:val="24"/>
        </w:rPr>
        <w:t xml:space="preserve">Eficiența și creativitatea în învățământul primar nu rezultă din utilizarea izolată a unor tehnologii avansate, ci din integrarea armonioasă a mijloacelor de învățământ în ansamblul strategiilor didactice. Mijloacele de învățământ trebuie să fie subordonate </w:t>
      </w:r>
      <w:r w:rsidR="000A66C0" w:rsidRPr="00521FC2">
        <w:rPr>
          <w:rFonts w:ascii="Cambria" w:hAnsi="Cambria"/>
          <w:b/>
          <w:bCs/>
          <w:sz w:val="24"/>
          <w:szCs w:val="24"/>
        </w:rPr>
        <w:t>metodelor</w:t>
      </w:r>
      <w:r w:rsidR="000A66C0" w:rsidRPr="00521FC2">
        <w:rPr>
          <w:rFonts w:ascii="Cambria" w:hAnsi="Cambria"/>
          <w:sz w:val="24"/>
          <w:szCs w:val="24"/>
        </w:rPr>
        <w:t xml:space="preserve"> (cum învățăm) și </w:t>
      </w:r>
      <w:r w:rsidR="000A66C0" w:rsidRPr="00521FC2">
        <w:rPr>
          <w:rFonts w:ascii="Cambria" w:hAnsi="Cambria"/>
          <w:b/>
          <w:bCs/>
          <w:sz w:val="24"/>
          <w:szCs w:val="24"/>
        </w:rPr>
        <w:t>formelor de organizare</w:t>
      </w:r>
      <w:r w:rsidR="000A66C0" w:rsidRPr="00521FC2">
        <w:rPr>
          <w:rFonts w:ascii="Cambria" w:hAnsi="Cambria"/>
          <w:sz w:val="24"/>
          <w:szCs w:val="24"/>
        </w:rPr>
        <w:t xml:space="preserve"> (când și unde învățăm), formând împreună un sistem coerent.</w:t>
      </w:r>
    </w:p>
    <w:p w14:paraId="09F1A9FD" w14:textId="0358C465" w:rsidR="000A66C0" w:rsidRPr="00521FC2" w:rsidRDefault="00521FC2" w:rsidP="00521FC2">
      <w:pPr>
        <w:jc w:val="both"/>
        <w:rPr>
          <w:rFonts w:ascii="Cambria" w:hAnsi="Cambria"/>
          <w:sz w:val="24"/>
          <w:szCs w:val="24"/>
        </w:rPr>
      </w:pPr>
      <w:r>
        <w:rPr>
          <w:rFonts w:ascii="Cambria" w:hAnsi="Cambria"/>
          <w:sz w:val="24"/>
          <w:szCs w:val="24"/>
          <w:lang w:val="ro-RO"/>
        </w:rPr>
        <w:t xml:space="preserve">       </w:t>
      </w:r>
      <w:r w:rsidR="000A66C0" w:rsidRPr="00521FC2">
        <w:rPr>
          <w:rFonts w:ascii="Cambria" w:hAnsi="Cambria"/>
          <w:sz w:val="24"/>
          <w:szCs w:val="24"/>
        </w:rPr>
        <w:t xml:space="preserve">O strategie didactică eficientă presupune o selecție riguroasă: dacă alegem o metodă activ-participativă, precum </w:t>
      </w:r>
      <w:r w:rsidR="000A66C0" w:rsidRPr="00521FC2">
        <w:rPr>
          <w:rFonts w:ascii="Cambria" w:hAnsi="Cambria"/>
          <w:i/>
          <w:iCs/>
          <w:sz w:val="24"/>
          <w:szCs w:val="24"/>
        </w:rPr>
        <w:t>brainstorming-ul</w:t>
      </w:r>
      <w:r w:rsidR="000A66C0" w:rsidRPr="00521FC2">
        <w:rPr>
          <w:rFonts w:ascii="Cambria" w:hAnsi="Cambria"/>
          <w:sz w:val="24"/>
          <w:szCs w:val="24"/>
        </w:rPr>
        <w:t xml:space="preserve">, mijloacele de învățământ (de exemplu, tabla </w:t>
      </w:r>
      <w:r w:rsidR="000A66C0" w:rsidRPr="00521FC2">
        <w:rPr>
          <w:rFonts w:ascii="Cambria" w:hAnsi="Cambria"/>
          <w:sz w:val="24"/>
          <w:szCs w:val="24"/>
        </w:rPr>
        <w:lastRenderedPageBreak/>
        <w:t>interactivă sau post-it-urile) devin „ancore” vizuale care captează ideile copiilor. Mai mult, creativitatea demersului didactic apare atunci când cadrul didactic transformă mijloacele în provocări. De pildă, utilizarea unui soft educațional nu trebuie să fie doar o expunere pasivă, ci trebuie să însoțească o problemă de investigat, transformând elevul din receptor în explorator.</w:t>
      </w:r>
    </w:p>
    <w:p w14:paraId="7A4265F2" w14:textId="77396920" w:rsidR="00E51F71" w:rsidRPr="00521FC2" w:rsidRDefault="00521FC2" w:rsidP="00521FC2">
      <w:pPr>
        <w:jc w:val="both"/>
        <w:rPr>
          <w:rFonts w:ascii="Cambria" w:hAnsi="Cambria"/>
          <w:sz w:val="24"/>
          <w:szCs w:val="24"/>
        </w:rPr>
      </w:pPr>
      <w:r w:rsidRPr="00521FC2">
        <w:rPr>
          <w:rFonts w:ascii="Cambria" w:hAnsi="Cambria"/>
          <w:b/>
          <w:bCs/>
          <w:color w:val="C00000"/>
          <w:sz w:val="24"/>
          <w:szCs w:val="24"/>
          <w:lang w:val="ro-RO"/>
        </w:rPr>
        <w:t xml:space="preserve">        </w:t>
      </w:r>
      <w:r w:rsidR="000A66C0" w:rsidRPr="00521FC2">
        <w:rPr>
          <w:rFonts w:ascii="Cambria" w:hAnsi="Cambria"/>
          <w:b/>
          <w:bCs/>
          <w:color w:val="C00000"/>
          <w:sz w:val="24"/>
          <w:szCs w:val="24"/>
        </w:rPr>
        <w:t>În concluzie</w:t>
      </w:r>
      <w:r w:rsidR="000A66C0" w:rsidRPr="00521FC2">
        <w:rPr>
          <w:rFonts w:ascii="Cambria" w:hAnsi="Cambria"/>
          <w:sz w:val="24"/>
          <w:szCs w:val="24"/>
        </w:rPr>
        <w:t>, integrarea mijloacelor de învățământ în învățământul primar trebuie să echilibreze utilizarea resurselor tradiționale cu cele moderne. Succesul didactic depinde de măiestria învățătorului de a corela aceste resurse cu obiectivele lecției și cu particularitățile de vârstă, transformând sala de clasă într-un laborator viu, unde învățarea devine o experiență concretă, stimulantă și profund creativă.</w:t>
      </w:r>
    </w:p>
    <w:sectPr w:rsidR="00E51F71" w:rsidRPr="00521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5B73"/>
    <w:multiLevelType w:val="multilevel"/>
    <w:tmpl w:val="0A4A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736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0B"/>
    <w:rsid w:val="000A66C0"/>
    <w:rsid w:val="004D2B0B"/>
    <w:rsid w:val="004F5AB2"/>
    <w:rsid w:val="00521FC2"/>
    <w:rsid w:val="007766A4"/>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F449"/>
  <w15:chartTrackingRefBased/>
  <w15:docId w15:val="{BF5DD6A9-2D05-4CFB-B6B3-CBDA270B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B0B"/>
    <w:rPr>
      <w:rFonts w:eastAsiaTheme="majorEastAsia" w:cstheme="majorBidi"/>
      <w:color w:val="272727" w:themeColor="text1" w:themeTint="D8"/>
    </w:rPr>
  </w:style>
  <w:style w:type="paragraph" w:styleId="Title">
    <w:name w:val="Title"/>
    <w:basedOn w:val="Normal"/>
    <w:next w:val="Normal"/>
    <w:link w:val="TitleChar"/>
    <w:uiPriority w:val="10"/>
    <w:qFormat/>
    <w:rsid w:val="004D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B0B"/>
    <w:pPr>
      <w:spacing w:before="160"/>
      <w:jc w:val="center"/>
    </w:pPr>
    <w:rPr>
      <w:i/>
      <w:iCs/>
      <w:color w:val="404040" w:themeColor="text1" w:themeTint="BF"/>
    </w:rPr>
  </w:style>
  <w:style w:type="character" w:customStyle="1" w:styleId="QuoteChar">
    <w:name w:val="Quote Char"/>
    <w:basedOn w:val="DefaultParagraphFont"/>
    <w:link w:val="Quote"/>
    <w:uiPriority w:val="29"/>
    <w:rsid w:val="004D2B0B"/>
    <w:rPr>
      <w:i/>
      <w:iCs/>
      <w:color w:val="404040" w:themeColor="text1" w:themeTint="BF"/>
    </w:rPr>
  </w:style>
  <w:style w:type="paragraph" w:styleId="ListParagraph">
    <w:name w:val="List Paragraph"/>
    <w:basedOn w:val="Normal"/>
    <w:uiPriority w:val="34"/>
    <w:qFormat/>
    <w:rsid w:val="004D2B0B"/>
    <w:pPr>
      <w:ind w:left="720"/>
      <w:contextualSpacing/>
    </w:pPr>
  </w:style>
  <w:style w:type="character" w:styleId="IntenseEmphasis">
    <w:name w:val="Intense Emphasis"/>
    <w:basedOn w:val="DefaultParagraphFont"/>
    <w:uiPriority w:val="21"/>
    <w:qFormat/>
    <w:rsid w:val="004D2B0B"/>
    <w:rPr>
      <w:i/>
      <w:iCs/>
      <w:color w:val="2F5496" w:themeColor="accent1" w:themeShade="BF"/>
    </w:rPr>
  </w:style>
  <w:style w:type="paragraph" w:styleId="IntenseQuote">
    <w:name w:val="Intense Quote"/>
    <w:basedOn w:val="Normal"/>
    <w:next w:val="Normal"/>
    <w:link w:val="IntenseQuoteChar"/>
    <w:uiPriority w:val="30"/>
    <w:qFormat/>
    <w:rsid w:val="004D2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B0B"/>
    <w:rPr>
      <w:i/>
      <w:iCs/>
      <w:color w:val="2F5496" w:themeColor="accent1" w:themeShade="BF"/>
    </w:rPr>
  </w:style>
  <w:style w:type="character" w:styleId="IntenseReference">
    <w:name w:val="Intense Reference"/>
    <w:basedOn w:val="DefaultParagraphFont"/>
    <w:uiPriority w:val="32"/>
    <w:qFormat/>
    <w:rsid w:val="004D2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2026-07-14T17:58:00Z</dcterms:created>
  <dcterms:modified xsi:type="dcterms:W3CDTF">2026-07-16T04:54:00Z</dcterms:modified>
</cp:coreProperties>
</file>