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FD" w:rsidRPr="008B27FD" w:rsidRDefault="008B27FD" w:rsidP="008B27F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 xml:space="preserve">Jean de La Fontaine – </w:t>
      </w:r>
      <w:proofErr w:type="spellStart"/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>Greierele</w:t>
      </w:r>
      <w:proofErr w:type="spellEnd"/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> </w:t>
      </w:r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</w:rPr>
        <w:t>s</w:t>
      </w:r>
      <w:proofErr w:type="spellStart"/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>i</w:t>
      </w:r>
      <w:proofErr w:type="spellEnd"/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>furnica</w:t>
      </w:r>
      <w:proofErr w:type="spellEnd"/>
      <w:r w:rsidRPr="008B27FD">
        <w:rPr>
          <w:rFonts w:ascii="Cambria" w:eastAsia="Times New Roman" w:hAnsi="Cambria" w:cs="Calibri"/>
          <w:b/>
          <w:bCs/>
          <w:i/>
          <w:iCs/>
          <w:color w:val="2980B9"/>
          <w:sz w:val="24"/>
          <w:szCs w:val="24"/>
          <w:shd w:val="clear" w:color="auto" w:fill="FFFFFF"/>
          <w:lang w:val="x-none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              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Greierasul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 de Jean de La Fontaine (1621-1695)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ajuns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de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scrierea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acestei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capodopere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genului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un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simbol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lenesului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al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omului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neprevazator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cunoscut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pretutindeni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partenera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reprezentanta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harnici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care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vad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treaba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pregatindu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munca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vremurile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un gen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literar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foarte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indragit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fiind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accesibil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desigur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niveluri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diferite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intelegere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copiilor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cat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adultilor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               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 - care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parte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genului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epic -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aduce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lumea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animalelor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lumea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oamenilor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facandu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-le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talentul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scriitorului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caracteristici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omenesti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naravuri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deprinderi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mentalitati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care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ajung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astfel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satirizate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dandu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-ne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posibilitatea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vedem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bine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noi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insine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defectele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noastre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27FD" w:rsidRPr="008B27FD" w:rsidRDefault="008B27FD" w:rsidP="008B27F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 </w:t>
      </w: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obicei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interactioneaza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doua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superior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inferior,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putin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aparent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aceasta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situatie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ducand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posibilitatea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elibera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finalul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solutie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neasteptata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plina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intelepciune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Ne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amintim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tertipul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corbului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 La Fontaine „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Vulpea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corbul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determinat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vulpe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scape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gura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bucata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atatandu-i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orgoliul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demonstra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 are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glas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frumos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                 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Inca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dinaintea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erei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noastre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in Mesopotamia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scriau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Au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fost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gasite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arheologi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tablite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provenind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bibliotecile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vremuri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in care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animale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caracteristici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naravuri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omenesti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chiar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nu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explicita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tarziu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considera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intentia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era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tip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moralizator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semanand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proverbele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vremea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noastra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Un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exemplu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dintre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inscriptii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care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spune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: „Nu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vorbesti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gasesti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pierdut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zici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toata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lumea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“</w:t>
      </w:r>
      <w:proofErr w:type="gram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vechea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Indie,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intermediul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antologiei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Pañchatantra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redactata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limba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sanscrita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570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i.Hr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300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i.Hr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animale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precum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magarul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leul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maimuta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sarpele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vorbesc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fapt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moravurile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omenesti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influentand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Occidentul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versiunea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tradusa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limba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araba,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circuland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Persia,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titlul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Kalila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wa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Dimna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Kalila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Dimna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). Hesiod,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vechi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dupa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Homer,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scriitor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Greciei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secolul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VIII-lea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Privighetoarea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eretele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”, din care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desprinde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care tine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notiunea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dreptate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Dupa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dezvolta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Esop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(620-560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i.Hr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.),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care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crede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fost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sclav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filozof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fabulist,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talentat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stapanul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acorda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uneori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perioade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libertate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datorita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sfaturilor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bune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care le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primea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sclav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Esop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anecdote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stil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epic,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Socrate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pus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scrierile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sale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versuri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27FD" w:rsidRPr="008B27FD" w:rsidRDefault="008B27FD" w:rsidP="008B27F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 </w:t>
      </w:r>
      <w:bookmarkStart w:id="0" w:name="_GoBack"/>
      <w:bookmarkEnd w:id="0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Grecia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ajunge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 la Roma,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unde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secolul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IV-lea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poetul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roman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Avinius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scris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patruzeci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acest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tip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creatie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literara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fiind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tot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indragit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Evul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Mediu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tot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multi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autori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chiar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mediul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clerical,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scriau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sub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pseudonime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amendand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diverse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moravuri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Prima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poeta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franceza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Marie de France,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finalul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secolului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XII-lea,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publicat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culegere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63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care le-a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prezentat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fata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regelui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Henric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II-lea.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lastRenderedPageBreak/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proofErr w:type="gramStart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>Greierele</w:t>
      </w:r>
      <w:proofErr w:type="spellEnd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>si</w:t>
      </w:r>
      <w:proofErr w:type="spellEnd"/>
      <w:proofErr w:type="gramEnd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>furnica</w:t>
      </w:r>
      <w:proofErr w:type="spellEnd"/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poezia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Alecu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Donici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subiect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initiat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parintele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Esop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abordat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pleiada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scriitori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frunte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cu La Fontaine.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Donici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 s-a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remarcat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printr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-un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ascutit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simt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observatiei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descriind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sale, sub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masca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animale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moravurile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proastele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deprinderi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societatii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secolul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XIX-lea.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Acest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comentariu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face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referire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argumentare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demonstratie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)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moduri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expunere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structura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compozitionala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prozodie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limbajul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artistic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figurile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stil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poezia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".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Tema</w:t>
      </w:r>
      <w:proofErr w:type="spellEnd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Alecu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Donici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satirizarea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defectelor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caracter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frivolitatii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oamenilor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lipsiti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prevedere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inclinarea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a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lasa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voia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placerilor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vietii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ignorand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consecintele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faptelor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necesitatile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viitoare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chiar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destinul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personal.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Titlul</w:t>
      </w:r>
      <w:proofErr w:type="spellEnd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poeziei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 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enuntiativ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constand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numirea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doua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implicit,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relatiei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dintre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vedere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caracteristicile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definitorii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doua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insecte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Principalele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moduri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expunere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naratiunea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persoana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III-a,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scopul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reliefa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obiectivitatea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naratorului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dialogul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sub forma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scenete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doua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Morala</w:t>
      </w:r>
      <w:proofErr w:type="spellEnd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subinteleasa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putand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fi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usurinta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deslusita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povestirea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alegorica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Este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vorba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nesocotinta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oamenilor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care nu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planifica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viata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ci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vad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distractie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"o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desfatare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pregati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vremurile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vitrege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("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iarna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")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ii pot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astepta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unii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reprezentati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muncesc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a-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asigura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existenta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adapost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eventuale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evenimente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nefaste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altii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intruchipati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- nu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fac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huzureasca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traiasca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azi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intelepciunea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ceva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deoparte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cum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spune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expresie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populara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,   </w:t>
      </w:r>
      <w:proofErr w:type="gram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"a strange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bani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albi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zile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negre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singura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fraza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morala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acestei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fi: 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Prevederea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mama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intelepciunii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".           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Compozitional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naratiunea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formata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doua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parti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: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expozitiune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in care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explica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statutul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personajelor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imprejurarea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le face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interactioneze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un dialog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purtat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 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expozitiune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precizeaza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petrecut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intreaga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cantand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distrandu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-se,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viscolul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prevestitor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iarna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l-a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luat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surprindere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intrucat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nu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adunase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un pic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mancare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anotimpul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scapa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spectrul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foamei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el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alearga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lacrimi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ochi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rugand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-o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imprumute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niste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bucate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pana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primavara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Dialogul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dintre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scurt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revelator.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readuce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aminte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ca,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timpul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muncea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el nu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facea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petreaca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cante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Replica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finala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ironica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chiar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sarcastica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: "Ai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cantat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Imi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pare bine /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Acum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joaca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daca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poti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/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fa ca mine."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         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Prozodia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 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conformeaza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acestei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specii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epice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nefiind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foarte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riguroasa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realizarea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ritmului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masurii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Versurile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compuse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din 7-8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silabe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chiar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lastRenderedPageBreak/>
        <w:t>3-4 in 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conversatia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dintre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Rima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imperecheata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prima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secventa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narativa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avem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aici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rima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imbratisata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incrucisata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secventa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dialogului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existand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exceptia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versului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rima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faceai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?").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>Limbajul</w:t>
      </w:r>
      <w:proofErr w:type="spellEnd"/>
      <w:r w:rsidRPr="008B27FD">
        <w:rPr>
          <w:rFonts w:ascii="Cambria" w:eastAsia="Times New Roman" w:hAnsi="Cambri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artistic</w:t>
      </w: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 se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remarca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simplitate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oralitate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stil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colocvial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Oralitatea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subliniata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de-a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doua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parte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poeziei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modalitatea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populara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acord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predicatului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subiectul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Verbele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puse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plural, desi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subiectul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la singular ("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l-au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ascultat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", "l-au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intrebat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").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Figurile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stil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reduse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trasatura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specifica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oricarei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creatii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epice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Principalul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procedeu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artistic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personificarea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loc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un dialog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sugestiv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ales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dezvaluirea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atitudinii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caracterului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8B27FD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</w:rPr>
        <w:t>concluzia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argumentarii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, "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fabula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intrucat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poezie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genului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epic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versuri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avand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ca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moduri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expunere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naratiunea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dialogul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cuprinzand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personajele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greierul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furnica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implicate in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actiunea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dialog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cerere-refuz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ingloband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figuri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stil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sarace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reprezentate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mai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seama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personificare</w:t>
      </w:r>
      <w:proofErr w:type="spellEnd"/>
      <w:r w:rsidRPr="008B27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</w:rPr>
        <w:t>.</w:t>
      </w:r>
    </w:p>
    <w:p w:rsidR="008B27FD" w:rsidRPr="008B27FD" w:rsidRDefault="008B27FD" w:rsidP="008B27FD">
      <w:pPr>
        <w:spacing w:after="0" w:line="240" w:lineRule="auto"/>
        <w:ind w:left="10" w:right="2"/>
        <w:jc w:val="both"/>
        <w:rPr>
          <w:rFonts w:ascii="Cambria" w:eastAsia="Times New Roman" w:hAnsi="Cambria" w:cs="Times New Roman"/>
          <w:sz w:val="24"/>
          <w:szCs w:val="24"/>
        </w:rPr>
      </w:pPr>
      <w:r w:rsidRPr="008B27FD">
        <w:rPr>
          <w:rFonts w:ascii="Cambria" w:eastAsia="Times New Roman" w:hAnsi="Cambria" w:cs="Helvetica"/>
          <w:color w:val="555555"/>
          <w:sz w:val="21"/>
          <w:szCs w:val="21"/>
          <w:shd w:val="clear" w:color="auto" w:fill="FFFFFF"/>
        </w:rPr>
        <w:t> </w:t>
      </w:r>
    </w:p>
    <w:p w:rsidR="00E64DCA" w:rsidRPr="008B27FD" w:rsidRDefault="00E64DCA">
      <w:pPr>
        <w:rPr>
          <w:rFonts w:ascii="Cambria" w:hAnsi="Cambria"/>
        </w:rPr>
      </w:pPr>
    </w:p>
    <w:sectPr w:rsidR="00E64DCA" w:rsidRPr="008B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4"/>
    <w:rsid w:val="008B27FD"/>
    <w:rsid w:val="00991CD4"/>
    <w:rsid w:val="00E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88F2"/>
  <w15:chartTrackingRefBased/>
  <w15:docId w15:val="{119E2997-682C-4406-8059-38CE9E4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paragraph1"/>
    <w:basedOn w:val="Normal"/>
    <w:rsid w:val="008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8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7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2018-11-11T08:42:00Z</dcterms:created>
  <dcterms:modified xsi:type="dcterms:W3CDTF">2018-11-11T08:43:00Z</dcterms:modified>
</cp:coreProperties>
</file>