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6A43" w14:textId="77777777" w:rsidR="00345CC3" w:rsidRPr="00345CC3" w:rsidRDefault="00345CC3" w:rsidP="00345CC3">
      <w:pPr>
        <w:shd w:val="clear" w:color="auto" w:fill="FFFFFF"/>
        <w:spacing w:before="100" w:beforeAutospacing="1" w:after="100" w:afterAutospacing="1" w:line="435" w:lineRule="atLeast"/>
        <w:outlineLvl w:val="1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A. 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Matematică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(15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puncte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)</w:t>
      </w:r>
    </w:p>
    <w:p w14:paraId="036871DF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58E53048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1. Suma 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patru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numere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naturale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consecutive pare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228.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Determinați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patru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numere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fofosind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metoda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grafică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6B7A23CE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47BC7405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2.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Știind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x + y = 6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y + z = 9,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calculați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2x + 5y + 3z</w:t>
      </w:r>
    </w:p>
    <w:p w14:paraId="23BBCA18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7644D23B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3.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Unghiurile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triunghi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măsurile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= (2x + </w:t>
      </w:r>
      <w:proofErr w:type="gram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50)º</w:t>
      </w:r>
      <w:proofErr w:type="gram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B = (5x - 40)º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 = (2x - 10)º.</w:t>
      </w:r>
    </w:p>
    <w:p w14:paraId="494227A1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a)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Arătați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x = 20.</w:t>
      </w:r>
    </w:p>
    <w:p w14:paraId="09F7319F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b)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Știind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BC = 24 cm,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calculați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aria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triunghiului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ABC.</w:t>
      </w:r>
    </w:p>
    <w:p w14:paraId="6B3743FA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4237B5E5" w14:textId="3E243570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4. O cutie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cadou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sub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formă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cub </w:t>
      </w:r>
      <w:proofErr w:type="gram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are</w:t>
      </w:r>
      <w:proofErr w:type="gram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volumul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2744 </w:t>
      </w:r>
      <w:r w:rsidRPr="00345CC3">
        <w:rPr>
          <w:noProof/>
        </w:rPr>
        <w:drawing>
          <wp:inline distT="0" distB="0" distL="0" distR="0" wp14:anchorId="58D766E2" wp14:editId="0919CEEE">
            <wp:extent cx="247650" cy="1809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Cutia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ambalată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hârtie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Știind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ambalare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sunt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pierderi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hârtie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10 </w:t>
      </w:r>
      <w:r w:rsidRPr="00345CC3">
        <w:rPr>
          <w:noProof/>
        </w:rPr>
        <w:drawing>
          <wp:inline distT="0" distB="0" distL="0" distR="0" wp14:anchorId="5A92DFA4" wp14:editId="232B51FA">
            <wp:extent cx="123825" cy="1809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ajung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1300 </w:t>
      </w:r>
      <w:r w:rsidRPr="00345CC3">
        <w:rPr>
          <w:noProof/>
        </w:rPr>
        <w:drawing>
          <wp:inline distT="0" distB="0" distL="0" distR="0" wp14:anchorId="4F9A73DD" wp14:editId="31C420E4">
            <wp:extent cx="247650" cy="180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hârtie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?</w:t>
      </w:r>
    </w:p>
    <w:p w14:paraId="6E49F791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26AB6CAA" w14:textId="77777777" w:rsidR="00345CC3" w:rsidRPr="00345CC3" w:rsidRDefault="00345CC3" w:rsidP="00345CC3">
      <w:pPr>
        <w:shd w:val="clear" w:color="auto" w:fill="FFFFFF"/>
        <w:spacing w:before="100" w:beforeAutospacing="1" w:after="100" w:afterAutospacing="1" w:line="435" w:lineRule="atLeast"/>
        <w:outlineLvl w:val="1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B. 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Metodica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predării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matematicii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/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matematicii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explorării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mediului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(10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puncte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)</w:t>
      </w:r>
    </w:p>
    <w:p w14:paraId="19747A52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248556FC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Următoare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secvență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face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parte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programa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școlară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pentru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matematică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explorarea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mediului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-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clasa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pregătitoare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aprobată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OMEN nr.3418/2013;</w:t>
      </w:r>
    </w:p>
    <w:p w14:paraId="2A66C80E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44159801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Competența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specifică</w:t>
      </w:r>
      <w:proofErr w:type="spellEnd"/>
    </w:p>
    <w:p w14:paraId="0B752CD1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2.1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Orientarea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mișcarea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raport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repre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/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direcții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precizate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folosind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sintagme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tipul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: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pe,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deasupra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dedesubt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lângă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fața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spatele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sus,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jos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stânga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dreapta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orizontal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vertical,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oblic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29450839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58593252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Exemple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activități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:</w:t>
      </w:r>
    </w:p>
    <w:p w14:paraId="70EC55CB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→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jocuri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poziționare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gram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</w:t>
      </w:r>
      <w:proofErr w:type="gram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obiectelor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raport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obiecte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precizate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;</w:t>
      </w:r>
    </w:p>
    <w:p w14:paraId="35A43D11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→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identificarea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poziției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pe care o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ocupă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diverse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obiecte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raport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obiecte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precizate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;</w:t>
      </w:r>
    </w:p>
    <w:p w14:paraId="78C77370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→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jocuri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identificare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gram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</w:t>
      </w:r>
      <w:proofErr w:type="gram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obiectelor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realitatea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imediată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imagini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funcție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poziția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lor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față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un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reper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;</w:t>
      </w:r>
    </w:p>
    <w:p w14:paraId="16A48DB8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→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prezentarea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propriei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persoane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funcție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poziția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clasă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raportarea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ceilalți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colegi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41DD9367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6C6C9BCD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Conținut</w:t>
      </w:r>
      <w:proofErr w:type="spellEnd"/>
    </w:p>
    <w:p w14:paraId="1DA1E8F5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Figuri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corpuri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geometrice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:</w:t>
      </w:r>
    </w:p>
    <w:p w14:paraId="6772BE9E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—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orientare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spațială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localizări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;</w:t>
      </w:r>
    </w:p>
    <w:p w14:paraId="38079568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—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repere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sau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direcții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: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pe,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deasupra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dedesubt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lângă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fața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spatele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sus,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jos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stânga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dreapta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orizontal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vertical,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oblic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15FB80BD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6C8690D9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lastRenderedPageBreak/>
        <w:t>Cerințe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:</w:t>
      </w:r>
    </w:p>
    <w:p w14:paraId="016FCBE6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a)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Pentru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forma/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dezvolta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competența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specificată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evidențiati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mijloace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didactice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strategii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diferențiere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individualizare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respectiv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forme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organizare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colectivului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38EDDBCB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b)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Concepeți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itemi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evaluare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direcți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din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sfera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itemilor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obiectivi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itemi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evaluare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diferiți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din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categoria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itemilor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semiiectivi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aplicabili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evaluarea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formării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/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dezvoltării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acelei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competențe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1815DF27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1A1EA965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25555372" w14:textId="77777777" w:rsidR="00345CC3" w:rsidRPr="00345CC3" w:rsidRDefault="00345CC3" w:rsidP="00345CC3">
      <w:pPr>
        <w:shd w:val="clear" w:color="auto" w:fill="FFFFFF"/>
        <w:spacing w:before="100" w:beforeAutospacing="1" w:after="100" w:afterAutospacing="1" w:line="435" w:lineRule="atLeast"/>
        <w:outlineLvl w:val="1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</w:pP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Rezolvare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subiect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:</w:t>
      </w:r>
    </w:p>
    <w:p w14:paraId="556F0864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1FA1C536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1C177D24" w14:textId="77777777" w:rsidR="00345CC3" w:rsidRPr="00345CC3" w:rsidRDefault="00345CC3" w:rsidP="00345CC3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228 – (2 + 4 + 6) = 216</w:t>
      </w:r>
    </w:p>
    <w:p w14:paraId="4C287D5C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gram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216 :</w:t>
      </w:r>
      <w:proofErr w:type="gram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4 = 54.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Numerele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sunt 54,56,58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60.</w:t>
      </w:r>
    </w:p>
    <w:p w14:paraId="485DFD80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58D2F17D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              |______________________|</w:t>
      </w:r>
    </w:p>
    <w:p w14:paraId="2F872805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6F1718F6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 + 2       |_______________________|______|</w:t>
      </w:r>
    </w:p>
    <w:p w14:paraId="64258AB4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F47069E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 + 4       |_______________________|______|______|</w:t>
      </w:r>
    </w:p>
    <w:p w14:paraId="32D58C1A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456C9DD5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 + 6       |_______________________|______|______|_____|</w:t>
      </w:r>
    </w:p>
    <w:p w14:paraId="72EFCCCB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74906E78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63EAF2FE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2.</w:t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2x + 5y + 3z =</w:t>
      </w:r>
    </w:p>
    <w:p w14:paraId="4778EEC9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2 </w:t>
      </w:r>
      <w:proofErr w:type="gram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( x</w:t>
      </w:r>
      <w:proofErr w:type="gram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+ y ) + 3 ( y + z ) =</w:t>
      </w:r>
    </w:p>
    <w:p w14:paraId="056D802C" w14:textId="5020B574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= 2 </w:t>
      </w:r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∙</w:t>
      </w:r>
      <w:r w:rsidRPr="00345CC3">
        <w:rPr>
          <w:noProof/>
        </w:rPr>
        <w:drawing>
          <wp:inline distT="0" distB="0" distL="0" distR="0" wp14:anchorId="735BC497" wp14:editId="6D361DC3">
            <wp:extent cx="38100" cy="190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6 + 3 </w:t>
      </w:r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∙</w:t>
      </w:r>
      <w:r w:rsidRPr="00345CC3">
        <w:rPr>
          <w:noProof/>
        </w:rPr>
        <w:drawing>
          <wp:inline distT="0" distB="0" distL="0" distR="0" wp14:anchorId="2291D6DC" wp14:editId="578FD617">
            <wp:extent cx="38100" cy="190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9 = 39</w:t>
      </w:r>
    </w:p>
    <w:p w14:paraId="54DAC1B8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67469059" w14:textId="5F79ED78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3. </w:t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Suma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unghiurilor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triunghi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180</w:t>
      </w:r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°</w:t>
      </w:r>
      <w:r w:rsidRPr="00345CC3">
        <w:rPr>
          <w:noProof/>
        </w:rPr>
        <w:drawing>
          <wp:inline distT="0" distB="0" distL="0" distR="0" wp14:anchorId="4FEC6F17" wp14:editId="3A1C01B2">
            <wp:extent cx="57150" cy="190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deci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2x + 50 + 5x – 40 + 2x – 10 = 180</w:t>
      </w:r>
    </w:p>
    <w:p w14:paraId="191CA4BD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             </w:t>
      </w:r>
      <w:r w:rsidRPr="00345CC3">
        <w:rPr>
          <w:rFonts w:ascii="Cambria Math" w:eastAsia="Times New Roman" w:hAnsi="Cambria Math" w:cs="Cambria Math"/>
          <w:color w:val="555555"/>
          <w:sz w:val="21"/>
          <w:szCs w:val="21"/>
          <w:lang w:eastAsia="en-GB"/>
        </w:rPr>
        <w:t>⇒</w:t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9x = 180</w:t>
      </w:r>
    </w:p>
    <w:p w14:paraId="7AE8AA8B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           </w:t>
      </w:r>
      <w:r w:rsidRPr="00345CC3">
        <w:rPr>
          <w:rFonts w:ascii="Cambria Math" w:eastAsia="Times New Roman" w:hAnsi="Cambria Math" w:cs="Cambria Math"/>
          <w:color w:val="555555"/>
          <w:sz w:val="21"/>
          <w:szCs w:val="21"/>
          <w:lang w:eastAsia="en-GB"/>
        </w:rPr>
        <w:t>⇒</w:t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x = 20</w:t>
      </w:r>
    </w:p>
    <w:p w14:paraId="4AE38610" w14:textId="7E7A013B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Din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teorema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unghiului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30</w:t>
      </w:r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°</w:t>
      </w:r>
      <w:r w:rsidRPr="00345CC3">
        <w:rPr>
          <w:noProof/>
        </w:rPr>
        <w:drawing>
          <wp:inline distT="0" distB="0" distL="0" distR="0" wp14:anchorId="3C6EB5E6" wp14:editId="3F9CD3E6">
            <wp:extent cx="57150" cy="190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deducem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AB = 12 cm.</w:t>
      </w:r>
    </w:p>
    <w:p w14:paraId="159AFF7D" w14:textId="1DB91850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Cambria Math" w:eastAsia="Times New Roman" w:hAnsi="Cambria Math" w:cs="Cambria Math"/>
          <w:color w:val="555555"/>
          <w:sz w:val="21"/>
          <w:szCs w:val="21"/>
          <w:lang w:eastAsia="en-GB"/>
        </w:rPr>
        <w:t>⇒</w:t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aplică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teorema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Pitagora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află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AC = 12 </w:t>
      </w:r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3</w:t>
      </w:r>
      <w:r w:rsidRPr="00345CC3">
        <w:rPr>
          <w:noProof/>
        </w:rPr>
        <w:drawing>
          <wp:inline distT="0" distB="0" distL="0" distR="0" wp14:anchorId="7E450BA6" wp14:editId="17045EE4">
            <wp:extent cx="180975" cy="209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7648128F" w14:textId="29C82C38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Cambria Math" w:eastAsia="Times New Roman" w:hAnsi="Cambria Math" w:cs="Cambria Math"/>
          <w:color w:val="555555"/>
          <w:sz w:val="21"/>
          <w:szCs w:val="21"/>
          <w:lang w:eastAsia="en-GB"/>
        </w:rPr>
        <w:t>⇒</w:t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Aplicăm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forma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ariei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află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= 72 </w:t>
      </w:r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3</w:t>
      </w:r>
      <w:r w:rsidRPr="00345CC3">
        <w:rPr>
          <w:noProof/>
        </w:rPr>
        <w:drawing>
          <wp:inline distT="0" distB="0" distL="0" distR="0" wp14:anchorId="39DCCA01" wp14:editId="0D70570C">
            <wp:extent cx="180975" cy="209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cm2</w:t>
      </w:r>
      <w:r w:rsidRPr="00345CC3">
        <w:rPr>
          <w:noProof/>
        </w:rPr>
        <w:drawing>
          <wp:inline distT="0" distB="0" distL="0" distR="0" wp14:anchorId="663E5503" wp14:editId="0CFDF007">
            <wp:extent cx="266700" cy="190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45FCE1F9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1175E833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73599EBA" w14:textId="6452E31F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4.</w:t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Volumul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345CC3">
        <w:rPr>
          <w:noProof/>
        </w:rPr>
        <w:drawing>
          <wp:inline distT="0" distB="0" distL="0" distR="0" wp14:anchorId="00504D54" wp14:editId="3ED09E3A">
            <wp:extent cx="152400" cy="190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deci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1 = 14 cm. Aria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totală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6 </w:t>
      </w:r>
      <w:r w:rsidRPr="00345CC3">
        <w:rPr>
          <w:noProof/>
        </w:rPr>
        <w:drawing>
          <wp:inline distT="0" distB="0" distL="0" distR="0" wp14:anchorId="23B33EF3" wp14:editId="12B40E01">
            <wp:extent cx="123825" cy="190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deci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1176 </w:t>
      </w:r>
      <w:r w:rsidRPr="00345CC3">
        <w:rPr>
          <w:noProof/>
        </w:rPr>
        <w:drawing>
          <wp:inline distT="0" distB="0" distL="0" distR="0" wp14:anchorId="2E82A2EF" wp14:editId="6DBDC0F0">
            <wp:extent cx="266700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502B3A3C" w14:textId="6CAE3626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lastRenderedPageBreak/>
        <w:t>Ținând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seama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pierderile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10%,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trebuie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110</w:t>
      </w:r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%</w:t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· 1176 = 1293,6,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deci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ajung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1300 </w:t>
      </w:r>
      <w:r w:rsidRPr="00345CC3">
        <w:rPr>
          <w:noProof/>
        </w:rPr>
        <w:drawing>
          <wp:inline distT="0" distB="0" distL="0" distR="0" wp14:anchorId="64B16498" wp14:editId="09E9E2CB">
            <wp:extent cx="266700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2565E298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50B2B00B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72187321" w14:textId="77777777" w:rsidR="00345CC3" w:rsidRPr="00345CC3" w:rsidRDefault="00345CC3" w:rsidP="00345CC3">
      <w:pPr>
        <w:pBdr>
          <w:bottom w:val="single" w:sz="6" w:space="4" w:color="DFDFDF"/>
        </w:pBdr>
        <w:shd w:val="clear" w:color="auto" w:fill="FFFFFF"/>
        <w:spacing w:before="75" w:after="120" w:line="399" w:lineRule="atLeast"/>
        <w:outlineLvl w:val="2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</w:pPr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>B. </w:t>
      </w:r>
      <w:proofErr w:type="spellStart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>Metodica</w:t>
      </w:r>
      <w:proofErr w:type="spellEnd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>predării</w:t>
      </w:r>
      <w:proofErr w:type="spellEnd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>matematicii</w:t>
      </w:r>
      <w:proofErr w:type="spellEnd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>/</w:t>
      </w:r>
      <w:proofErr w:type="spellStart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>matematicii</w:t>
      </w:r>
      <w:proofErr w:type="spellEnd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>explorării</w:t>
      </w:r>
      <w:proofErr w:type="spellEnd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>mediului</w:t>
      </w:r>
      <w:proofErr w:type="spellEnd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 xml:space="preserve"> (10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>puncte</w:t>
      </w:r>
      <w:proofErr w:type="spellEnd"/>
      <w:r w:rsidRPr="00345CC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GB"/>
        </w:rPr>
        <w:t>)</w:t>
      </w:r>
    </w:p>
    <w:p w14:paraId="2F05B0BA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8598D3D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a)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Pentru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forma/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dezvolta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competența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specificată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evidențiati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mijloace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didactice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strategii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diferențiere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individualizare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respectiv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forme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organizare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colectivului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necesare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6E8C2371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11388E6E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titlu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exemplu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ne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alegem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o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lecție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însușire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cunosștințelor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Propunem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astfel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derularea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acesteia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:</w:t>
      </w:r>
    </w:p>
    <w:p w14:paraId="41BCC67C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solicitarea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învățătorului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un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poziționează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anumite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puncte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ale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clasei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preajma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anumitor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colegi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Stând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locurile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precizate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trebuie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marcheze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reperele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/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direcțiile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indicate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învățător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mesaje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verbale, „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întărite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”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jetoane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având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semnele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corespunzătoare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0217698E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57390C48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următoarea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secvență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grupuri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patru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școlarii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realizează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elemente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grafice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aer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suporturi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materiale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: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nisip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plastilină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aplatizată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constitue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resursele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educațional</w:t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Este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momentul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care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execu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liniuțe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verticale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orizontale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oblice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; 10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semne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fiecare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tip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12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semne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combinate.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apoi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membrii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grupurilor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oferă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plen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exemple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linii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vericale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orizontale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oblice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întâlnite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viața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cotidiană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4298F9A1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1AD6D4F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etapa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realizare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transferului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așază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semicerc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pentru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urmări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imagini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dintr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-un film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animat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Din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filmul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oprit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pentrua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li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adresa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întrebări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formulate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considerarea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temei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: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Orientarea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mișcarea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timpul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potrivit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cererea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învățătorului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gram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</w:t>
      </w:r>
      <w:proofErr w:type="gram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efectivului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după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caz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un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indică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reperele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/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direcțiile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observate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-o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secvență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anume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Răspunsul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trebuie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fie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urmat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un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exemplu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concret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preluat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mediul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apropiat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Verbalizând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văzute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ecran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contextul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creat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film,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micii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școlari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înțeleg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mișcarea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/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împingerea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corupurilor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posibilă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datorită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forțe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exercitate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sau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nu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om.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(</w:t>
      </w:r>
      <w:proofErr w:type="gram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</w:t>
      </w:r>
      <w:proofErr w:type="gram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face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trimitere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științele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fizicii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parte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programa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disciplinei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noastre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studiu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- MEM).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Revenind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gândul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tema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zile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formulează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concluziile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așteptate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75471EAD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4470CEC8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 </w:t>
      </w: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   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Metodele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principale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aplicate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sunt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explicatia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exercițiul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Le-am ales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îndeosebi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fiindcă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vedem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mult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aproape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esența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principiului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predării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individualizate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; 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principiul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care,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definiție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ne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permite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adaptăm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conținutul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nevoile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fiecărui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totodată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potențialul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clasei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Strategiile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mixte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analogice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pot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realmente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premisele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învățării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personalizate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36B9A9D8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BB59F7C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Organizarea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efectivului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face individual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grupuri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mici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Activitatea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desfășurată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frontal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subînțelege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fiind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absolut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necesar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începutul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timp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captează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atenția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final,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cânezintă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produsele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având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elementele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grafice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prestabilite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Indiferent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modul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organizare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fiecare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școlar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folosește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egală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măsură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puterea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concentrare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abilitățile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orientare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Per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ansamblu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sunt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determinați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efectueze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exerciții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atenție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seamă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exerciții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dezvoltare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gram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</w:t>
      </w:r>
      <w:proofErr w:type="gram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inteligenței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spațial-vizuale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Fără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doar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sunt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valorificate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abilitățile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relaționare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dvedite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copil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parte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potențialul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socio-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afectiv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Îmn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contextele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comunicare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încurajează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ascultarea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activă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51B40D9F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37B61BC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lastRenderedPageBreak/>
        <w:t xml:space="preserve">   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Atăt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organizarea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colectivului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managementul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conținutului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parcurs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facilitează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demersul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exersare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stilurilor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Dacă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observăm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separat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copiii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deducem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valorifică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implicit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stilurile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predominante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Fiindu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-le,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firește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oricâ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îndemână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pot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relua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multă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ușurință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ritmurile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proprii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procesul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asimilare-acomidare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Ne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refim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internalizarea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cunoștințelor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găsirea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aplicabilității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lor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situații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viață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Pe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deasupra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observându-i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ținând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rezultatele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obținute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evaluative,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facem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corelații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stilurile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adoptate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Finalitatea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revizuirea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proiectării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didactice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favoarea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lor.</w:t>
      </w:r>
    </w:p>
    <w:p w14:paraId="2F611C06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3B7CEAE5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Încheiem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idee cu o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ipoteză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:</w:t>
      </w:r>
    </w:p>
    <w:p w14:paraId="424C2F6E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dezvoltăm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bine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școlarilor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spiritul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observație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obișnuim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acționeze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diverse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împrejurări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care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necesită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orientare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mișcare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bazată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repere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spațiale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atât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proofErr w:type="gram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putem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siguri</w:t>
      </w:r>
      <w:proofErr w:type="spellEnd"/>
      <w:proofErr w:type="gram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dezvoltăm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agerime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Negreșit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impactul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activității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propuse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resimte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pe termen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îndelungat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independent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tipul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spațiului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care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manifestă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: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convențional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sau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nu.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Deasemenea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situațiile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instruire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diferențiată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generează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experiențe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durabilă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, de(re)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valorificat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vârstă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7FC45970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2AA80CA8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b) 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Concepeți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doi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itemi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evaluare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direcți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din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sfera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itemilor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obiectivi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doi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itemi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evaluare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diferiți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din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categoria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itemilor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semiiectivi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aplicabili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evaluarea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formării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/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dezvoltării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acelei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competențe</w:t>
      </w:r>
      <w:proofErr w:type="spellEnd"/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.</w:t>
      </w:r>
    </w:p>
    <w:p w14:paraId="0BFA6353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1FC115E9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  </w:t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Din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seria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itemilor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obiectivi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alegem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diferiți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pe care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prezentăm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urmează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fel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procedă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gândindu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-ne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categoria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itemilor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semiobiectivi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4D724C4F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34E6432C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Ne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raportăm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una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dintre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sarcinile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despre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care am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scris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structura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cerinței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aferente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literei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A. Ca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conformează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indicațiilor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răspunzând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corespunzător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comenzi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adică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</w:t>
      </w:r>
      <w:proofErr w:type="spellEnd"/>
      <w:r w:rsidRPr="00345CC3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 </w:t>
      </w:r>
      <w:proofErr w:type="spellStart"/>
      <w:r w:rsidRPr="00345CC3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Adevărat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sau</w:t>
      </w:r>
      <w:proofErr w:type="spellEnd"/>
      <w:r w:rsidRPr="00345CC3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 </w:t>
      </w:r>
      <w:proofErr w:type="spellStart"/>
      <w:r w:rsidRPr="00345CC3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Fals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00ABCBF9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59BCD2E4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►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jeton (</w:t>
      </w: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→</w:t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)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indică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faptul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trebuie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deplasezi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stânga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3BF360F4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►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Jetonul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gram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( /</w:t>
      </w:r>
      <w:proofErr w:type="gram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→)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arată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faptul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trebuie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ocolești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dreapta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ultima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bancă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pentru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ajunge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ușă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02DB33B5" w14:textId="650A8E3C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► 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Jetonul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(</w:t>
      </w:r>
      <w:r w:rsidRPr="00345CC3">
        <w:rPr>
          <w:noProof/>
        </w:rPr>
        <w:drawing>
          <wp:inline distT="0" distB="0" distL="0" distR="0" wp14:anchorId="046CF6C9" wp14:editId="11D64B11">
            <wp:extent cx="123825" cy="190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)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arată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faptul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trebuie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deplasezi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stânga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pentru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gram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</w:t>
      </w:r>
      <w:proofErr w:type="gram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ajunge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fereastră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2E5B49AC" w14:textId="519844F6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►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Orientându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-ne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după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jeton (</w:t>
      </w:r>
      <w:r w:rsidRPr="00345CC3">
        <w:rPr>
          <w:noProof/>
        </w:rPr>
        <w:drawing>
          <wp:inline distT="0" distB="0" distL="0" distR="0" wp14:anchorId="63442F25" wp14:editId="0566BE1E">
            <wp:extent cx="66675" cy="190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),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vedem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o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măsuță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lângă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tablă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7F2617AF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► 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Orientându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-ne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după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jeton (</w:t>
      </w:r>
      <w:r w:rsidRPr="00345CC3">
        <w:rPr>
          <w:rFonts w:ascii="Cambria Math" w:eastAsia="Times New Roman" w:hAnsi="Cambria Math" w:cs="Cambria Math"/>
          <w:color w:val="555555"/>
          <w:sz w:val="21"/>
          <w:szCs w:val="21"/>
          <w:lang w:eastAsia="en-GB"/>
        </w:rPr>
        <w:t>⇔</w:t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),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vedem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obiectele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pe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catedră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sunt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așezate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poziție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oblică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7367A15D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69A65250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  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cuprinsul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unilet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pot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citit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enunțuri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care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trebuie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puse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corespondență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simbolurile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aferente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prezintă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astfel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:</w:t>
      </w:r>
    </w:p>
    <w:p w14:paraId="2CB0A5B3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FD18751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linii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asociați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fiecare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propoziție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simbolul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simbolurile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potrivite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Atenție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însă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!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repetă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7440E63F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78CDE516" w14:textId="2A37A373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►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Putem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așeza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un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dulap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poziție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verticală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poziție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orizontală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 </w:t>
      </w:r>
      <w:r w:rsidRPr="00345CC3">
        <w:rPr>
          <w:noProof/>
        </w:rPr>
        <w:drawing>
          <wp:inline distT="0" distB="0" distL="0" distR="0" wp14:anchorId="49D18C23" wp14:editId="2ECDDA2C">
            <wp:extent cx="114300" cy="323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  </w:t>
      </w:r>
      <w:r w:rsidRPr="00345CC3">
        <w:rPr>
          <w:noProof/>
        </w:rPr>
        <w:drawing>
          <wp:inline distT="0" distB="0" distL="0" distR="0" wp14:anchorId="06F9F18F" wp14:editId="664BED3F">
            <wp:extent cx="238125" cy="323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A73E8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► Pe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scaun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putem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picioare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poziție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șezândă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109D48F3" w14:textId="1F5ABEB2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lastRenderedPageBreak/>
        <w:t xml:space="preserve">►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obicei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catedra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poziționată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lângă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fereastră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                              </w:t>
      </w:r>
      <w:r w:rsidRPr="00345CC3">
        <w:rPr>
          <w:noProof/>
        </w:rPr>
        <w:drawing>
          <wp:inline distT="0" distB="0" distL="0" distR="0" wp14:anchorId="3DB4C26E" wp14:editId="01547009">
            <wp:extent cx="152400" cy="32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4588F" w14:textId="427C243B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►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regulă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catedra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ușa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află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stânga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dreapta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clasei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             </w:t>
      </w:r>
      <w:r w:rsidRPr="00345CC3">
        <w:rPr>
          <w:noProof/>
        </w:rPr>
        <w:drawing>
          <wp:inline distT="0" distB="0" distL="0" distR="0" wp14:anchorId="5A93DABD" wp14:editId="0DE5C325">
            <wp:extent cx="238125" cy="323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64E53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14B7A10B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 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Completați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libere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termenii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corespunzători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63A9E322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77B7BC7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filmul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vizionat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am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observat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:</w:t>
      </w:r>
    </w:p>
    <w:p w14:paraId="27482E67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► un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copil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stătea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_______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caldarâm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;</w:t>
      </w:r>
    </w:p>
    <w:p w14:paraId="1728E63C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► un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altul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trecea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_______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fața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trăgea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_____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un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cărucior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171543D9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►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iar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altul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arunca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mingea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______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coșul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baschet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25D88A37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7F3B2429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1AE74457" w14:textId="77777777" w:rsidR="00345CC3" w:rsidRPr="00345CC3" w:rsidRDefault="00345CC3" w:rsidP="00345CC3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en-GB"/>
        </w:rPr>
      </w:pPr>
      <w:r w:rsidRPr="00345CC3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en-GB"/>
        </w:rPr>
        <w:t>                                       ȘI</w:t>
      </w:r>
    </w:p>
    <w:p w14:paraId="3535726E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          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Dacă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vi s-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ar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cere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exemple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situații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care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utilizați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cuvintele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înainte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după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deasupra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, care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ar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fi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acestea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? Pe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rândurile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mai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jos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enunțuri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scurte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dați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câte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două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exemple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pentru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fiecare</w:t>
      </w:r>
      <w:proofErr w:type="spellEnd"/>
      <w:r w:rsidRPr="00345CC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.</w:t>
      </w:r>
    </w:p>
    <w:p w14:paraId="5E73C1F9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_____________________________________________</w:t>
      </w: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br/>
      </w: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br/>
        <w:t>_____________________________________________</w:t>
      </w: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br/>
      </w: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br/>
        <w:t>_____________________________________________</w:t>
      </w: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br/>
      </w: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br/>
        <w:t>_____________________________________________</w:t>
      </w: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br/>
      </w: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br/>
        <w:t>_____________________________________________</w:t>
      </w: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br/>
      </w: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br/>
        <w:t>______________________________________________</w:t>
      </w:r>
    </w:p>
    <w:p w14:paraId="19E54966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C3D7CAA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       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Reprivim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itemii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enumerați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realiză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avem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față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tipologii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diferite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Primii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sunt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alegere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duală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alegere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multiplă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iar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ultimii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doar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cuprind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enunțuri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lacunare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întrebări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structurate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2DE4387C" w14:textId="77777777" w:rsidR="00345CC3" w:rsidRPr="00345CC3" w:rsidRDefault="00345CC3" w:rsidP="00345CC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  Cu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titlu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exemplificativ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aceștia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pot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contribui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fixarea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cunoștințelor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despre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reperele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/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direcțiile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luat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pentru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ne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orienta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mișca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spațiu</w:t>
      </w:r>
      <w:proofErr w:type="spellEnd"/>
      <w:r w:rsidRPr="00345CC3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21457A95" w14:textId="77777777" w:rsidR="009F5489" w:rsidRDefault="009F5489"/>
    <w:sectPr w:rsidR="009F5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3D1A"/>
    <w:multiLevelType w:val="multilevel"/>
    <w:tmpl w:val="9526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A5"/>
    <w:rsid w:val="00345CC3"/>
    <w:rsid w:val="007C1EA5"/>
    <w:rsid w:val="009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9C4AD-B36D-4277-A266-54EDDDCC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5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45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45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CC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45CC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45CC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345C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45C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1511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2025-06-15T07:45:00Z</dcterms:created>
  <dcterms:modified xsi:type="dcterms:W3CDTF">2025-06-15T07:45:00Z</dcterms:modified>
</cp:coreProperties>
</file>